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E3" w:rsidRDefault="006838E3" w:rsidP="00015A1A">
      <w:pPr>
        <w:pStyle w:val="Ttulo"/>
        <w:rPr>
          <w:rFonts w:ascii="Bookman Old Style" w:hAnsi="Bookman Old Style"/>
          <w:spacing w:val="-6"/>
          <w:szCs w:val="28"/>
        </w:rPr>
      </w:pPr>
    </w:p>
    <w:p w:rsidR="00015A1A" w:rsidRPr="00670186" w:rsidRDefault="00015A1A" w:rsidP="00015A1A">
      <w:pPr>
        <w:pStyle w:val="Ttulo"/>
        <w:rPr>
          <w:rFonts w:ascii="Bookman Old Style" w:hAnsi="Bookman Old Style"/>
          <w:spacing w:val="-6"/>
          <w:szCs w:val="28"/>
        </w:rPr>
      </w:pPr>
      <w:r w:rsidRPr="00670186">
        <w:rPr>
          <w:rFonts w:ascii="Bookman Old Style" w:hAnsi="Bookman Old Style"/>
          <w:spacing w:val="-6"/>
          <w:szCs w:val="28"/>
        </w:rPr>
        <w:t>CORTE SUPREMA DE JUSTICIA</w:t>
      </w:r>
    </w:p>
    <w:p w:rsidR="00015A1A" w:rsidRPr="00670186" w:rsidRDefault="00015A1A" w:rsidP="00015A1A">
      <w:pPr>
        <w:pStyle w:val="Ttulo"/>
        <w:rPr>
          <w:rFonts w:ascii="Bookman Old Style" w:hAnsi="Bookman Old Style"/>
          <w:spacing w:val="-6"/>
          <w:szCs w:val="28"/>
        </w:rPr>
      </w:pPr>
      <w:r w:rsidRPr="00670186">
        <w:rPr>
          <w:rFonts w:ascii="Bookman Old Style" w:hAnsi="Bookman Old Style"/>
          <w:spacing w:val="-6"/>
          <w:szCs w:val="28"/>
        </w:rPr>
        <w:t>SALA ESPECIAL DE PRIMERA INSTANCIA</w:t>
      </w:r>
    </w:p>
    <w:p w:rsidR="00015A1A" w:rsidRPr="00670186" w:rsidRDefault="00015A1A" w:rsidP="00015A1A">
      <w:pPr>
        <w:spacing w:line="360" w:lineRule="auto"/>
        <w:jc w:val="center"/>
        <w:rPr>
          <w:rFonts w:ascii="Bookman Old Style" w:hAnsi="Bookman Old Style" w:cs="Arial"/>
          <w:b/>
          <w:spacing w:val="-6"/>
          <w:sz w:val="28"/>
          <w:szCs w:val="28"/>
        </w:rPr>
      </w:pPr>
      <w:bookmarkStart w:id="0" w:name="_GoBack"/>
    </w:p>
    <w:bookmarkEnd w:id="0"/>
    <w:p w:rsidR="00015A1A" w:rsidRPr="00670186" w:rsidRDefault="00015A1A" w:rsidP="00015A1A">
      <w:pPr>
        <w:spacing w:line="360" w:lineRule="auto"/>
        <w:jc w:val="center"/>
        <w:rPr>
          <w:rFonts w:ascii="Bookman Old Style" w:hAnsi="Bookman Old Style" w:cs="Arial"/>
          <w:b/>
          <w:spacing w:val="-6"/>
          <w:sz w:val="28"/>
          <w:szCs w:val="28"/>
        </w:rPr>
      </w:pPr>
    </w:p>
    <w:p w:rsidR="00015A1A" w:rsidRPr="00670186" w:rsidRDefault="009F185B" w:rsidP="00015A1A">
      <w:pPr>
        <w:spacing w:line="360"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JORGE EMILIO CALDAS VERA </w:t>
      </w:r>
    </w:p>
    <w:p w:rsidR="00015A1A" w:rsidRPr="00670186" w:rsidRDefault="00015A1A" w:rsidP="00015A1A">
      <w:pPr>
        <w:spacing w:line="360"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Magistrado Ponente</w:t>
      </w:r>
    </w:p>
    <w:p w:rsidR="00015A1A" w:rsidRPr="00670186" w:rsidRDefault="00015A1A" w:rsidP="00015A1A">
      <w:pPr>
        <w:spacing w:line="360" w:lineRule="auto"/>
        <w:jc w:val="center"/>
        <w:rPr>
          <w:rFonts w:ascii="Bookman Old Style" w:hAnsi="Bookman Old Style" w:cs="Arial"/>
          <w:b/>
          <w:spacing w:val="-6"/>
          <w:sz w:val="28"/>
          <w:szCs w:val="28"/>
        </w:rPr>
      </w:pPr>
    </w:p>
    <w:p w:rsidR="00015A1A" w:rsidRPr="00670186" w:rsidRDefault="00015A1A" w:rsidP="00015A1A">
      <w:pPr>
        <w:spacing w:line="360" w:lineRule="auto"/>
        <w:jc w:val="center"/>
        <w:rPr>
          <w:rFonts w:ascii="Bookman Old Style" w:hAnsi="Bookman Old Style" w:cs="Arial"/>
          <w:b/>
          <w:spacing w:val="-6"/>
          <w:sz w:val="28"/>
          <w:szCs w:val="28"/>
        </w:rPr>
      </w:pPr>
    </w:p>
    <w:p w:rsidR="00015A1A" w:rsidRPr="00670186" w:rsidRDefault="00266650" w:rsidP="00015A1A">
      <w:pPr>
        <w:spacing w:line="360"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A</w:t>
      </w:r>
      <w:r w:rsidR="00CC1A0C" w:rsidRPr="00670186">
        <w:rPr>
          <w:rFonts w:ascii="Bookman Old Style" w:hAnsi="Bookman Old Style" w:cs="Arial"/>
          <w:b/>
          <w:spacing w:val="-6"/>
          <w:sz w:val="28"/>
          <w:szCs w:val="28"/>
        </w:rPr>
        <w:t>EP</w:t>
      </w:r>
      <w:r w:rsidR="00814FED">
        <w:rPr>
          <w:rFonts w:ascii="Bookman Old Style" w:hAnsi="Bookman Old Style" w:cs="Arial"/>
          <w:b/>
          <w:spacing w:val="-6"/>
          <w:sz w:val="28"/>
          <w:szCs w:val="28"/>
        </w:rPr>
        <w:t xml:space="preserve"> 00068-2018</w:t>
      </w:r>
    </w:p>
    <w:p w:rsidR="00015A1A" w:rsidRPr="00670186" w:rsidRDefault="00015A1A" w:rsidP="00015A1A">
      <w:pPr>
        <w:spacing w:line="360"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Radicación </w:t>
      </w:r>
      <w:proofErr w:type="spellStart"/>
      <w:r w:rsidRPr="00670186">
        <w:rPr>
          <w:rFonts w:ascii="Bookman Old Style" w:hAnsi="Bookman Old Style" w:cs="Arial"/>
          <w:b/>
          <w:spacing w:val="-6"/>
          <w:sz w:val="28"/>
          <w:szCs w:val="28"/>
        </w:rPr>
        <w:t>N°</w:t>
      </w:r>
      <w:proofErr w:type="spellEnd"/>
      <w:r w:rsidRPr="00670186">
        <w:rPr>
          <w:rFonts w:ascii="Bookman Old Style" w:hAnsi="Bookman Old Style" w:cs="Arial"/>
          <w:b/>
          <w:spacing w:val="-6"/>
          <w:sz w:val="28"/>
          <w:szCs w:val="28"/>
        </w:rPr>
        <w:t xml:space="preserve"> </w:t>
      </w:r>
      <w:r w:rsidR="00CC1A0C" w:rsidRPr="00670186">
        <w:rPr>
          <w:rFonts w:ascii="Bookman Old Style" w:hAnsi="Bookman Old Style" w:cs="Arial"/>
          <w:b/>
          <w:spacing w:val="-6"/>
          <w:sz w:val="28"/>
          <w:szCs w:val="28"/>
        </w:rPr>
        <w:t>53051</w:t>
      </w:r>
    </w:p>
    <w:p w:rsidR="00015A1A" w:rsidRPr="00670186" w:rsidRDefault="00015A1A" w:rsidP="00015A1A">
      <w:pPr>
        <w:spacing w:line="360" w:lineRule="auto"/>
        <w:jc w:val="center"/>
        <w:rPr>
          <w:rFonts w:ascii="Bookman Old Style" w:hAnsi="Bookman Old Style"/>
          <w:b/>
          <w:spacing w:val="-6"/>
          <w:sz w:val="28"/>
          <w:szCs w:val="28"/>
        </w:rPr>
      </w:pPr>
      <w:r w:rsidRPr="00670186">
        <w:rPr>
          <w:rFonts w:ascii="Bookman Old Style" w:hAnsi="Bookman Old Style" w:cs="Arial"/>
          <w:b/>
          <w:spacing w:val="-6"/>
          <w:sz w:val="28"/>
          <w:szCs w:val="28"/>
        </w:rPr>
        <w:t xml:space="preserve">Aprobado mediante Acta No. </w:t>
      </w:r>
      <w:r w:rsidR="00814FED">
        <w:rPr>
          <w:rFonts w:ascii="Bookman Old Style" w:hAnsi="Bookman Old Style" w:cs="Arial"/>
          <w:b/>
          <w:spacing w:val="-6"/>
          <w:sz w:val="28"/>
          <w:szCs w:val="28"/>
        </w:rPr>
        <w:t>0042</w:t>
      </w:r>
    </w:p>
    <w:p w:rsidR="00015A1A" w:rsidRPr="00670186" w:rsidRDefault="00015A1A" w:rsidP="00015A1A">
      <w:pPr>
        <w:spacing w:line="360" w:lineRule="auto"/>
        <w:jc w:val="center"/>
        <w:rPr>
          <w:rFonts w:ascii="Bookman Old Style" w:hAnsi="Bookman Old Style" w:cs="Arial"/>
          <w:b/>
          <w:spacing w:val="-6"/>
          <w:sz w:val="28"/>
          <w:szCs w:val="28"/>
        </w:rPr>
      </w:pPr>
    </w:p>
    <w:p w:rsidR="00015A1A" w:rsidRPr="00670186" w:rsidRDefault="00015A1A" w:rsidP="00015A1A">
      <w:pPr>
        <w:spacing w:line="360" w:lineRule="auto"/>
        <w:jc w:val="center"/>
        <w:rPr>
          <w:rFonts w:ascii="Bookman Old Style" w:hAnsi="Bookman Old Style"/>
          <w:sz w:val="28"/>
          <w:szCs w:val="28"/>
        </w:rPr>
      </w:pPr>
    </w:p>
    <w:p w:rsidR="00015A1A" w:rsidRPr="00670186" w:rsidRDefault="00015A1A" w:rsidP="00015A1A">
      <w:pPr>
        <w:spacing w:line="360" w:lineRule="auto"/>
        <w:jc w:val="both"/>
        <w:rPr>
          <w:rFonts w:ascii="Bookman Old Style" w:hAnsi="Bookman Old Style"/>
          <w:sz w:val="28"/>
          <w:szCs w:val="28"/>
        </w:rPr>
      </w:pPr>
      <w:r w:rsidRPr="00670186">
        <w:rPr>
          <w:rFonts w:ascii="Bookman Old Style" w:hAnsi="Bookman Old Style"/>
          <w:sz w:val="28"/>
          <w:szCs w:val="28"/>
        </w:rPr>
        <w:t>Bogotá</w:t>
      </w:r>
      <w:r w:rsidR="006838E3" w:rsidRPr="00670186">
        <w:rPr>
          <w:rFonts w:ascii="Bookman Old Style" w:hAnsi="Bookman Old Style"/>
          <w:sz w:val="28"/>
          <w:szCs w:val="28"/>
        </w:rPr>
        <w:t>,</w:t>
      </w:r>
      <w:r w:rsidRPr="00670186">
        <w:rPr>
          <w:rFonts w:ascii="Bookman Old Style" w:hAnsi="Bookman Old Style"/>
          <w:sz w:val="28"/>
          <w:szCs w:val="28"/>
        </w:rPr>
        <w:t xml:space="preserve"> D.</w:t>
      </w:r>
      <w:r w:rsidR="006838E3" w:rsidRPr="00670186">
        <w:rPr>
          <w:rFonts w:ascii="Bookman Old Style" w:hAnsi="Bookman Old Style"/>
          <w:sz w:val="28"/>
          <w:szCs w:val="28"/>
        </w:rPr>
        <w:t xml:space="preserve"> </w:t>
      </w:r>
      <w:r w:rsidRPr="00670186">
        <w:rPr>
          <w:rFonts w:ascii="Bookman Old Style" w:hAnsi="Bookman Old Style"/>
          <w:sz w:val="28"/>
          <w:szCs w:val="28"/>
        </w:rPr>
        <w:t>C.,</w:t>
      </w:r>
      <w:r w:rsidR="00DA47D4" w:rsidRPr="00670186">
        <w:rPr>
          <w:rFonts w:ascii="Bookman Old Style" w:hAnsi="Bookman Old Style"/>
          <w:sz w:val="28"/>
          <w:szCs w:val="28"/>
        </w:rPr>
        <w:t xml:space="preserve"> diez</w:t>
      </w:r>
      <w:r w:rsidR="004E1DC1" w:rsidRPr="00670186">
        <w:rPr>
          <w:rFonts w:ascii="Bookman Old Style" w:hAnsi="Bookman Old Style"/>
          <w:sz w:val="28"/>
          <w:szCs w:val="28"/>
        </w:rPr>
        <w:t xml:space="preserve"> (</w:t>
      </w:r>
      <w:r w:rsidR="00DA47D4" w:rsidRPr="00670186">
        <w:rPr>
          <w:rFonts w:ascii="Bookman Old Style" w:hAnsi="Bookman Old Style"/>
          <w:sz w:val="28"/>
          <w:szCs w:val="28"/>
        </w:rPr>
        <w:t>10</w:t>
      </w:r>
      <w:r w:rsidR="004E1DC1" w:rsidRPr="00670186">
        <w:rPr>
          <w:rFonts w:ascii="Bookman Old Style" w:hAnsi="Bookman Old Style"/>
          <w:sz w:val="28"/>
          <w:szCs w:val="28"/>
        </w:rPr>
        <w:t xml:space="preserve">) de </w:t>
      </w:r>
      <w:r w:rsidR="001420D8" w:rsidRPr="00670186">
        <w:rPr>
          <w:rFonts w:ascii="Bookman Old Style" w:hAnsi="Bookman Old Style"/>
          <w:sz w:val="28"/>
          <w:szCs w:val="28"/>
        </w:rPr>
        <w:t>dici</w:t>
      </w:r>
      <w:r w:rsidR="004E1DC1" w:rsidRPr="00670186">
        <w:rPr>
          <w:rFonts w:ascii="Bookman Old Style" w:hAnsi="Bookman Old Style"/>
          <w:sz w:val="28"/>
          <w:szCs w:val="28"/>
        </w:rPr>
        <w:t>embre de dos mil dieciocho (2018)</w:t>
      </w:r>
    </w:p>
    <w:p w:rsidR="00015A1A" w:rsidRPr="00670186" w:rsidRDefault="00015A1A" w:rsidP="00015A1A">
      <w:pPr>
        <w:spacing w:line="360" w:lineRule="auto"/>
        <w:jc w:val="both"/>
        <w:rPr>
          <w:rFonts w:ascii="Bookman Old Style" w:hAnsi="Bookman Old Style"/>
          <w:sz w:val="28"/>
          <w:szCs w:val="28"/>
        </w:rPr>
      </w:pPr>
    </w:p>
    <w:p w:rsidR="004E1DC1" w:rsidRPr="00670186" w:rsidRDefault="004E1DC1" w:rsidP="00CC1A0C">
      <w:pPr>
        <w:spacing w:line="360" w:lineRule="auto"/>
        <w:ind w:firstLine="708"/>
        <w:jc w:val="both"/>
        <w:rPr>
          <w:rFonts w:ascii="Bookman Old Style" w:hAnsi="Bookman Old Style"/>
          <w:sz w:val="28"/>
          <w:szCs w:val="28"/>
        </w:rPr>
      </w:pPr>
    </w:p>
    <w:p w:rsidR="004E1DC1" w:rsidRPr="00670186" w:rsidRDefault="004E1DC1" w:rsidP="004E1DC1">
      <w:pPr>
        <w:spacing w:line="360" w:lineRule="auto"/>
        <w:ind w:firstLine="708"/>
        <w:jc w:val="center"/>
        <w:rPr>
          <w:rFonts w:ascii="Bookman Old Style" w:hAnsi="Bookman Old Style"/>
          <w:b/>
          <w:sz w:val="28"/>
          <w:szCs w:val="28"/>
        </w:rPr>
      </w:pPr>
      <w:r w:rsidRPr="00670186">
        <w:rPr>
          <w:rFonts w:ascii="Bookman Old Style" w:hAnsi="Bookman Old Style"/>
          <w:b/>
          <w:sz w:val="28"/>
          <w:szCs w:val="28"/>
        </w:rPr>
        <w:t>ASUNTO:</w:t>
      </w:r>
    </w:p>
    <w:p w:rsidR="004E1DC1" w:rsidRPr="00670186" w:rsidRDefault="004E1DC1" w:rsidP="00CC1A0C">
      <w:pPr>
        <w:spacing w:line="360" w:lineRule="auto"/>
        <w:ind w:firstLine="708"/>
        <w:jc w:val="both"/>
        <w:rPr>
          <w:rFonts w:ascii="Bookman Old Style" w:hAnsi="Bookman Old Style"/>
          <w:sz w:val="28"/>
          <w:szCs w:val="28"/>
        </w:rPr>
      </w:pPr>
    </w:p>
    <w:p w:rsidR="00A16052" w:rsidRPr="00670186" w:rsidRDefault="00A16052" w:rsidP="00A16052">
      <w:pPr>
        <w:spacing w:line="360" w:lineRule="auto"/>
        <w:ind w:firstLine="708"/>
        <w:jc w:val="both"/>
        <w:rPr>
          <w:rFonts w:ascii="Bookman Old Style" w:hAnsi="Bookman Old Style"/>
          <w:sz w:val="28"/>
          <w:szCs w:val="28"/>
        </w:rPr>
      </w:pPr>
      <w:r w:rsidRPr="00670186">
        <w:rPr>
          <w:rFonts w:ascii="Bookman Old Style" w:hAnsi="Bookman Old Style"/>
          <w:sz w:val="28"/>
          <w:szCs w:val="28"/>
        </w:rPr>
        <w:t>Corresponde a la Sala pronunciarse respecto de la solicitud de preclusión presentada por la Fiscalía Once Delegada ante la Corte Suprema de Justicia, en favor de</w:t>
      </w:r>
      <w:r w:rsidR="00AD5161" w:rsidRPr="00670186">
        <w:rPr>
          <w:rFonts w:ascii="Bookman Old Style" w:hAnsi="Bookman Old Style"/>
          <w:sz w:val="28"/>
          <w:szCs w:val="28"/>
        </w:rPr>
        <w:t>l señor</w:t>
      </w:r>
      <w:r w:rsidRPr="00670186">
        <w:rPr>
          <w:rFonts w:ascii="Bookman Old Style" w:hAnsi="Bookman Old Style"/>
          <w:sz w:val="28"/>
          <w:szCs w:val="28"/>
        </w:rPr>
        <w:t xml:space="preserve"> MANUEL JOSÉ BO</w:t>
      </w:r>
      <w:r w:rsidR="002C497A" w:rsidRPr="00670186">
        <w:rPr>
          <w:rFonts w:ascii="Bookman Old Style" w:hAnsi="Bookman Old Style"/>
          <w:sz w:val="28"/>
          <w:szCs w:val="28"/>
        </w:rPr>
        <w:t>N</w:t>
      </w:r>
      <w:r w:rsidRPr="00670186">
        <w:rPr>
          <w:rFonts w:ascii="Bookman Old Style" w:hAnsi="Bookman Old Style"/>
          <w:sz w:val="28"/>
          <w:szCs w:val="28"/>
        </w:rPr>
        <w:t xml:space="preserve">ET LOCARNO, investigado en su condición de Gobernador (e) del </w:t>
      </w:r>
      <w:r w:rsidR="00363368" w:rsidRPr="00670186">
        <w:rPr>
          <w:rFonts w:ascii="Bookman Old Style" w:hAnsi="Bookman Old Style"/>
          <w:sz w:val="28"/>
          <w:szCs w:val="28"/>
        </w:rPr>
        <w:t>departamento</w:t>
      </w:r>
      <w:r w:rsidRPr="00670186">
        <w:rPr>
          <w:rFonts w:ascii="Bookman Old Style" w:hAnsi="Bookman Old Style"/>
          <w:sz w:val="28"/>
          <w:szCs w:val="28"/>
        </w:rPr>
        <w:t xml:space="preserve"> del Magdalena, luego de haberse surtido el trámite descrito por el artículo 333 de la Ley 906 de 2004.</w:t>
      </w:r>
    </w:p>
    <w:p w:rsidR="00A16052" w:rsidRPr="00670186" w:rsidRDefault="00A16052" w:rsidP="00A16052">
      <w:pPr>
        <w:spacing w:line="360" w:lineRule="auto"/>
        <w:ind w:firstLine="708"/>
        <w:jc w:val="both"/>
        <w:rPr>
          <w:rFonts w:ascii="Bookman Old Style" w:hAnsi="Bookman Old Style"/>
          <w:sz w:val="28"/>
          <w:szCs w:val="28"/>
        </w:rPr>
      </w:pPr>
    </w:p>
    <w:p w:rsidR="006838E3" w:rsidRPr="00670186" w:rsidRDefault="006838E3" w:rsidP="00A16052">
      <w:pPr>
        <w:spacing w:line="360" w:lineRule="auto"/>
        <w:ind w:firstLine="708"/>
        <w:jc w:val="center"/>
        <w:rPr>
          <w:rFonts w:ascii="Bookman Old Style" w:hAnsi="Bookman Old Style"/>
          <w:b/>
          <w:sz w:val="28"/>
          <w:szCs w:val="28"/>
        </w:rPr>
      </w:pPr>
    </w:p>
    <w:p w:rsidR="005E4F64" w:rsidRPr="00670186" w:rsidRDefault="005E4F64" w:rsidP="00D12ADE">
      <w:pPr>
        <w:spacing w:line="360" w:lineRule="auto"/>
        <w:ind w:firstLine="708"/>
        <w:rPr>
          <w:rFonts w:ascii="Bookman Old Style" w:hAnsi="Bookman Old Style"/>
          <w:b/>
          <w:sz w:val="28"/>
          <w:szCs w:val="28"/>
        </w:rPr>
      </w:pPr>
    </w:p>
    <w:p w:rsidR="00A16052" w:rsidRPr="00670186" w:rsidRDefault="00A16052" w:rsidP="00A16052">
      <w:pPr>
        <w:spacing w:line="360" w:lineRule="auto"/>
        <w:ind w:firstLine="708"/>
        <w:jc w:val="center"/>
        <w:rPr>
          <w:rFonts w:ascii="Bookman Old Style" w:hAnsi="Bookman Old Style"/>
          <w:b/>
          <w:sz w:val="28"/>
          <w:szCs w:val="28"/>
        </w:rPr>
      </w:pPr>
      <w:r w:rsidRPr="00670186">
        <w:rPr>
          <w:rFonts w:ascii="Bookman Old Style" w:hAnsi="Bookman Old Style"/>
          <w:b/>
          <w:sz w:val="28"/>
          <w:szCs w:val="28"/>
        </w:rPr>
        <w:t>ANTECEDENTES FÁCTICOS Y PROCESALES</w:t>
      </w:r>
    </w:p>
    <w:p w:rsidR="0075606C" w:rsidRPr="00670186" w:rsidRDefault="0075606C" w:rsidP="00A16052">
      <w:pPr>
        <w:spacing w:line="360" w:lineRule="auto"/>
        <w:ind w:firstLine="708"/>
        <w:jc w:val="center"/>
        <w:rPr>
          <w:rFonts w:ascii="Bookman Old Style" w:hAnsi="Bookman Old Style"/>
          <w:sz w:val="28"/>
          <w:szCs w:val="28"/>
        </w:rPr>
      </w:pPr>
    </w:p>
    <w:p w:rsidR="00904AAF" w:rsidRPr="00670186" w:rsidRDefault="0075606C" w:rsidP="00E75423">
      <w:pPr>
        <w:spacing w:line="360" w:lineRule="auto"/>
        <w:jc w:val="both"/>
        <w:rPr>
          <w:rFonts w:ascii="Bookman Old Style" w:hAnsi="Bookman Old Style"/>
          <w:sz w:val="28"/>
          <w:szCs w:val="28"/>
        </w:rPr>
      </w:pPr>
      <w:r w:rsidRPr="00670186">
        <w:rPr>
          <w:rFonts w:ascii="Bookman Old Style" w:hAnsi="Bookman Old Style"/>
          <w:sz w:val="28"/>
          <w:szCs w:val="28"/>
        </w:rPr>
        <w:tab/>
      </w:r>
      <w:r w:rsidR="00E75423" w:rsidRPr="00670186">
        <w:rPr>
          <w:rFonts w:ascii="Bookman Old Style" w:hAnsi="Bookman Old Style"/>
          <w:sz w:val="28"/>
          <w:szCs w:val="28"/>
        </w:rPr>
        <w:t>Con ocasión de la suspensión del Gobernador elegido</w:t>
      </w:r>
      <w:r w:rsidR="002C497A" w:rsidRPr="00670186">
        <w:rPr>
          <w:rFonts w:ascii="Bookman Old Style" w:hAnsi="Bookman Old Style"/>
          <w:sz w:val="28"/>
          <w:szCs w:val="28"/>
        </w:rPr>
        <w:t xml:space="preserve"> </w:t>
      </w:r>
      <w:r w:rsidR="00E75423" w:rsidRPr="00670186">
        <w:rPr>
          <w:rFonts w:ascii="Bookman Old Style" w:hAnsi="Bookman Old Style"/>
          <w:sz w:val="28"/>
          <w:szCs w:val="28"/>
        </w:rPr>
        <w:t xml:space="preserve">popularmente en el </w:t>
      </w:r>
      <w:r w:rsidR="00363368" w:rsidRPr="00670186">
        <w:rPr>
          <w:rFonts w:ascii="Bookman Old Style" w:hAnsi="Bookman Old Style"/>
          <w:sz w:val="28"/>
          <w:szCs w:val="28"/>
        </w:rPr>
        <w:t>departamento</w:t>
      </w:r>
      <w:r w:rsidR="00E75423" w:rsidRPr="00670186">
        <w:rPr>
          <w:rFonts w:ascii="Bookman Old Style" w:hAnsi="Bookman Old Style"/>
          <w:sz w:val="28"/>
          <w:szCs w:val="28"/>
        </w:rPr>
        <w:t xml:space="preserve"> del Magdalena, el </w:t>
      </w:r>
      <w:r w:rsidR="00C82246" w:rsidRPr="00670186">
        <w:rPr>
          <w:rFonts w:ascii="Bookman Old Style" w:hAnsi="Bookman Old Style"/>
          <w:sz w:val="28"/>
          <w:szCs w:val="28"/>
        </w:rPr>
        <w:t>m</w:t>
      </w:r>
      <w:r w:rsidR="00E75423" w:rsidRPr="00670186">
        <w:rPr>
          <w:rFonts w:ascii="Bookman Old Style" w:hAnsi="Bookman Old Style"/>
          <w:sz w:val="28"/>
          <w:szCs w:val="28"/>
        </w:rPr>
        <w:t>inistro del Interior y de Justicia</w:t>
      </w:r>
      <w:r w:rsidR="00C01B2D" w:rsidRPr="00670186">
        <w:rPr>
          <w:rFonts w:ascii="Bookman Old Style" w:hAnsi="Bookman Old Style"/>
          <w:sz w:val="28"/>
          <w:szCs w:val="28"/>
        </w:rPr>
        <w:t xml:space="preserve"> Germán Vargas Lleras</w:t>
      </w:r>
      <w:r w:rsidR="00E75423" w:rsidRPr="00670186">
        <w:rPr>
          <w:rFonts w:ascii="Bookman Old Style" w:hAnsi="Bookman Old Style"/>
          <w:sz w:val="28"/>
          <w:szCs w:val="28"/>
        </w:rPr>
        <w:t>,</w:t>
      </w:r>
      <w:r w:rsidR="00C01B2D" w:rsidRPr="00670186">
        <w:rPr>
          <w:rFonts w:ascii="Bookman Old Style" w:hAnsi="Bookman Old Style"/>
          <w:sz w:val="28"/>
          <w:szCs w:val="28"/>
        </w:rPr>
        <w:t xml:space="preserve"> emitió el Decreto 4812 de</w:t>
      </w:r>
      <w:r w:rsidR="00363368" w:rsidRPr="00670186">
        <w:rPr>
          <w:rFonts w:ascii="Bookman Old Style" w:hAnsi="Bookman Old Style"/>
          <w:sz w:val="28"/>
          <w:szCs w:val="28"/>
        </w:rPr>
        <w:t>l</w:t>
      </w:r>
      <w:r w:rsidR="00C01B2D" w:rsidRPr="00670186">
        <w:rPr>
          <w:rFonts w:ascii="Bookman Old Style" w:hAnsi="Bookman Old Style"/>
          <w:sz w:val="28"/>
          <w:szCs w:val="28"/>
        </w:rPr>
        <w:t xml:space="preserve"> 29 de diciembre de 2010, designando como </w:t>
      </w:r>
      <w:r w:rsidR="00D12ADE" w:rsidRPr="00670186">
        <w:rPr>
          <w:rFonts w:ascii="Bookman Old Style" w:hAnsi="Bookman Old Style"/>
          <w:sz w:val="28"/>
          <w:szCs w:val="28"/>
        </w:rPr>
        <w:t>g</w:t>
      </w:r>
      <w:r w:rsidR="00C01B2D" w:rsidRPr="00670186">
        <w:rPr>
          <w:rFonts w:ascii="Bookman Old Style" w:hAnsi="Bookman Old Style"/>
          <w:sz w:val="28"/>
          <w:szCs w:val="28"/>
        </w:rPr>
        <w:t xml:space="preserve">obernador encargado </w:t>
      </w:r>
      <w:r w:rsidR="00363368" w:rsidRPr="00670186">
        <w:rPr>
          <w:rFonts w:ascii="Bookman Old Style" w:hAnsi="Bookman Old Style"/>
          <w:sz w:val="28"/>
          <w:szCs w:val="28"/>
        </w:rPr>
        <w:t>del departamento</w:t>
      </w:r>
      <w:r w:rsidR="00C01B2D" w:rsidRPr="00670186">
        <w:rPr>
          <w:rFonts w:ascii="Bookman Old Style" w:hAnsi="Bookman Old Style"/>
          <w:sz w:val="28"/>
          <w:szCs w:val="28"/>
        </w:rPr>
        <w:t xml:space="preserve"> a MANUEL JOSÉ BO</w:t>
      </w:r>
      <w:r w:rsidR="002C497A" w:rsidRPr="00670186">
        <w:rPr>
          <w:rFonts w:ascii="Bookman Old Style" w:hAnsi="Bookman Old Style"/>
          <w:sz w:val="28"/>
          <w:szCs w:val="28"/>
        </w:rPr>
        <w:t>N</w:t>
      </w:r>
      <w:r w:rsidR="00C01B2D" w:rsidRPr="00670186">
        <w:rPr>
          <w:rFonts w:ascii="Bookman Old Style" w:hAnsi="Bookman Old Style"/>
          <w:sz w:val="28"/>
          <w:szCs w:val="28"/>
        </w:rPr>
        <w:t>ET LOCARNO</w:t>
      </w:r>
      <w:r w:rsidR="00904AAF" w:rsidRPr="00670186">
        <w:rPr>
          <w:rFonts w:ascii="Bookman Old Style" w:hAnsi="Bookman Old Style"/>
          <w:sz w:val="28"/>
          <w:szCs w:val="28"/>
        </w:rPr>
        <w:t>.</w:t>
      </w:r>
      <w:r w:rsidR="00C71AD2" w:rsidRPr="00670186">
        <w:rPr>
          <w:rFonts w:ascii="Bookman Old Style" w:hAnsi="Bookman Old Style"/>
          <w:sz w:val="28"/>
          <w:szCs w:val="28"/>
        </w:rPr>
        <w:t xml:space="preserve"> </w:t>
      </w:r>
    </w:p>
    <w:p w:rsidR="00A02CE5" w:rsidRPr="00670186" w:rsidRDefault="00A02CE5" w:rsidP="00E75423">
      <w:pPr>
        <w:spacing w:line="360" w:lineRule="auto"/>
        <w:jc w:val="both"/>
        <w:rPr>
          <w:rFonts w:ascii="Bookman Old Style" w:hAnsi="Bookman Old Style"/>
          <w:sz w:val="28"/>
          <w:szCs w:val="28"/>
        </w:rPr>
      </w:pPr>
    </w:p>
    <w:p w:rsidR="00042BE7" w:rsidRPr="00670186" w:rsidRDefault="00C71AD2" w:rsidP="00C71AD2">
      <w:pPr>
        <w:spacing w:line="360" w:lineRule="auto"/>
        <w:ind w:firstLine="708"/>
        <w:jc w:val="both"/>
        <w:rPr>
          <w:rFonts w:ascii="Bookman Old Style" w:hAnsi="Bookman Old Style"/>
          <w:sz w:val="28"/>
          <w:szCs w:val="28"/>
        </w:rPr>
      </w:pPr>
      <w:r w:rsidRPr="00670186">
        <w:rPr>
          <w:rFonts w:ascii="Bookman Old Style" w:hAnsi="Bookman Old Style"/>
          <w:sz w:val="28"/>
          <w:szCs w:val="28"/>
        </w:rPr>
        <w:t xml:space="preserve">A través de </w:t>
      </w:r>
      <w:r w:rsidR="00042BE7" w:rsidRPr="00670186">
        <w:rPr>
          <w:rFonts w:ascii="Bookman Old Style" w:hAnsi="Bookman Old Style"/>
          <w:sz w:val="28"/>
          <w:szCs w:val="28"/>
        </w:rPr>
        <w:t>l</w:t>
      </w:r>
      <w:r w:rsidRPr="00670186">
        <w:rPr>
          <w:rFonts w:ascii="Bookman Old Style" w:hAnsi="Bookman Old Style"/>
          <w:sz w:val="28"/>
          <w:szCs w:val="28"/>
        </w:rPr>
        <w:t xml:space="preserve">a Contraloría General de la República – Gerencia Departamental del Magdalena, </w:t>
      </w:r>
      <w:r w:rsidR="00042BE7" w:rsidRPr="00670186">
        <w:rPr>
          <w:rFonts w:ascii="Bookman Old Style" w:hAnsi="Bookman Old Style"/>
          <w:sz w:val="28"/>
          <w:szCs w:val="28"/>
        </w:rPr>
        <w:t xml:space="preserve">se reporta </w:t>
      </w:r>
      <w:r w:rsidRPr="00670186">
        <w:rPr>
          <w:rFonts w:ascii="Bookman Old Style" w:hAnsi="Bookman Old Style"/>
          <w:sz w:val="28"/>
          <w:szCs w:val="28"/>
        </w:rPr>
        <w:t xml:space="preserve">mediante informe de auditoría </w:t>
      </w:r>
      <w:r w:rsidR="00042BE7" w:rsidRPr="00670186">
        <w:rPr>
          <w:rFonts w:ascii="Bookman Old Style" w:hAnsi="Bookman Old Style"/>
          <w:sz w:val="28"/>
          <w:szCs w:val="28"/>
        </w:rPr>
        <w:t>adelantada</w:t>
      </w:r>
      <w:r w:rsidRPr="00670186">
        <w:rPr>
          <w:rFonts w:ascii="Bookman Old Style" w:hAnsi="Bookman Old Style"/>
          <w:sz w:val="28"/>
          <w:szCs w:val="28"/>
        </w:rPr>
        <w:t xml:space="preserve"> en el </w:t>
      </w:r>
      <w:r w:rsidR="00042BE7" w:rsidRPr="00670186">
        <w:rPr>
          <w:rFonts w:ascii="Bookman Old Style" w:hAnsi="Bookman Old Style"/>
          <w:sz w:val="28"/>
          <w:szCs w:val="28"/>
        </w:rPr>
        <w:t xml:space="preserve">año </w:t>
      </w:r>
      <w:r w:rsidRPr="00670186">
        <w:rPr>
          <w:rFonts w:ascii="Bookman Old Style" w:hAnsi="Bookman Old Style"/>
          <w:sz w:val="28"/>
          <w:szCs w:val="28"/>
        </w:rPr>
        <w:t>2012</w:t>
      </w:r>
      <w:r w:rsidR="00042BE7" w:rsidRPr="00670186">
        <w:rPr>
          <w:rFonts w:ascii="Bookman Old Style" w:hAnsi="Bookman Old Style"/>
          <w:sz w:val="28"/>
          <w:szCs w:val="28"/>
        </w:rPr>
        <w:t>,</w:t>
      </w:r>
      <w:r w:rsidRPr="00670186">
        <w:rPr>
          <w:rFonts w:ascii="Bookman Old Style" w:hAnsi="Bookman Old Style"/>
          <w:sz w:val="28"/>
          <w:szCs w:val="28"/>
        </w:rPr>
        <w:t xml:space="preserve"> </w:t>
      </w:r>
      <w:proofErr w:type="gramStart"/>
      <w:r w:rsidRPr="00670186">
        <w:rPr>
          <w:rFonts w:ascii="Bookman Old Style" w:hAnsi="Bookman Old Style"/>
          <w:sz w:val="28"/>
          <w:szCs w:val="28"/>
        </w:rPr>
        <w:t>que</w:t>
      </w:r>
      <w:proofErr w:type="gramEnd"/>
      <w:r w:rsidRPr="00670186">
        <w:rPr>
          <w:rFonts w:ascii="Bookman Old Style" w:hAnsi="Bookman Old Style"/>
          <w:sz w:val="28"/>
          <w:szCs w:val="28"/>
        </w:rPr>
        <w:t xml:space="preserve"> </w:t>
      </w:r>
      <w:r w:rsidR="00042BE7" w:rsidRPr="00670186">
        <w:rPr>
          <w:rFonts w:ascii="Bookman Old Style" w:hAnsi="Bookman Old Style"/>
          <w:sz w:val="28"/>
          <w:szCs w:val="28"/>
        </w:rPr>
        <w:t xml:space="preserve">surtido el trámite de </w:t>
      </w:r>
      <w:r w:rsidR="00A47760" w:rsidRPr="00670186">
        <w:rPr>
          <w:rFonts w:ascii="Bookman Old Style" w:hAnsi="Bookman Old Style"/>
          <w:sz w:val="28"/>
          <w:szCs w:val="28"/>
        </w:rPr>
        <w:t>la entidad fiscalizadora sobre</w:t>
      </w:r>
      <w:r w:rsidRPr="00670186">
        <w:rPr>
          <w:rFonts w:ascii="Bookman Old Style" w:hAnsi="Bookman Old Style"/>
          <w:sz w:val="28"/>
          <w:szCs w:val="28"/>
        </w:rPr>
        <w:t xml:space="preserve"> los recursos recibidos </w:t>
      </w:r>
      <w:r w:rsidR="00042BE7" w:rsidRPr="00670186">
        <w:rPr>
          <w:rFonts w:ascii="Bookman Old Style" w:hAnsi="Bookman Old Style"/>
          <w:sz w:val="28"/>
          <w:szCs w:val="28"/>
        </w:rPr>
        <w:t xml:space="preserve">por el </w:t>
      </w:r>
      <w:r w:rsidR="00363368" w:rsidRPr="00670186">
        <w:rPr>
          <w:rFonts w:ascii="Bookman Old Style" w:hAnsi="Bookman Old Style"/>
          <w:sz w:val="28"/>
          <w:szCs w:val="28"/>
        </w:rPr>
        <w:t>Departamento</w:t>
      </w:r>
      <w:r w:rsidR="00042BE7" w:rsidRPr="00670186">
        <w:rPr>
          <w:rFonts w:ascii="Bookman Old Style" w:hAnsi="Bookman Old Style"/>
          <w:sz w:val="28"/>
          <w:szCs w:val="28"/>
        </w:rPr>
        <w:t xml:space="preserve"> </w:t>
      </w:r>
      <w:r w:rsidRPr="00670186">
        <w:rPr>
          <w:rFonts w:ascii="Bookman Old Style" w:hAnsi="Bookman Old Style"/>
          <w:sz w:val="28"/>
          <w:szCs w:val="28"/>
        </w:rPr>
        <w:t>en el año 2011</w:t>
      </w:r>
      <w:r w:rsidR="00042BE7" w:rsidRPr="00670186">
        <w:rPr>
          <w:rFonts w:ascii="Bookman Old Style" w:hAnsi="Bookman Old Style"/>
          <w:sz w:val="28"/>
          <w:szCs w:val="28"/>
        </w:rPr>
        <w:t xml:space="preserve">, con destino al sector </w:t>
      </w:r>
      <w:r w:rsidRPr="00670186">
        <w:rPr>
          <w:rFonts w:ascii="Bookman Old Style" w:hAnsi="Bookman Old Style"/>
          <w:sz w:val="28"/>
          <w:szCs w:val="28"/>
        </w:rPr>
        <w:t xml:space="preserve">educación SGP, </w:t>
      </w:r>
      <w:r w:rsidR="00042BE7" w:rsidRPr="00670186">
        <w:rPr>
          <w:rFonts w:ascii="Bookman Old Style" w:hAnsi="Bookman Old Style"/>
          <w:sz w:val="28"/>
          <w:szCs w:val="28"/>
        </w:rPr>
        <w:t>s</w:t>
      </w:r>
      <w:r w:rsidR="009F10D3" w:rsidRPr="00670186">
        <w:rPr>
          <w:rFonts w:ascii="Bookman Old Style" w:hAnsi="Bookman Old Style"/>
          <w:sz w:val="28"/>
          <w:szCs w:val="28"/>
        </w:rPr>
        <w:t>e</w:t>
      </w:r>
      <w:r w:rsidR="00042BE7" w:rsidRPr="00670186">
        <w:rPr>
          <w:rFonts w:ascii="Bookman Old Style" w:hAnsi="Bookman Old Style"/>
          <w:sz w:val="28"/>
          <w:szCs w:val="28"/>
        </w:rPr>
        <w:t xml:space="preserve"> pusieron en evidencia </w:t>
      </w:r>
      <w:r w:rsidRPr="00670186">
        <w:rPr>
          <w:rFonts w:ascii="Bookman Old Style" w:hAnsi="Bookman Old Style"/>
          <w:sz w:val="28"/>
          <w:szCs w:val="28"/>
        </w:rPr>
        <w:t xml:space="preserve">hallazgos de </w:t>
      </w:r>
      <w:r w:rsidR="00042BE7" w:rsidRPr="00670186">
        <w:rPr>
          <w:rFonts w:ascii="Bookman Old Style" w:hAnsi="Bookman Old Style"/>
          <w:sz w:val="28"/>
          <w:szCs w:val="28"/>
        </w:rPr>
        <w:t xml:space="preserve">posible </w:t>
      </w:r>
      <w:r w:rsidRPr="00670186">
        <w:rPr>
          <w:rFonts w:ascii="Bookman Old Style" w:hAnsi="Bookman Old Style"/>
          <w:sz w:val="28"/>
          <w:szCs w:val="28"/>
        </w:rPr>
        <w:t>connotación penal</w:t>
      </w:r>
      <w:r w:rsidR="00042BE7" w:rsidRPr="00670186">
        <w:rPr>
          <w:rFonts w:ascii="Bookman Old Style" w:hAnsi="Bookman Old Style"/>
          <w:sz w:val="28"/>
          <w:szCs w:val="28"/>
        </w:rPr>
        <w:t>, concretamente en lo que hace relación con el</w:t>
      </w:r>
      <w:r w:rsidRPr="00670186">
        <w:rPr>
          <w:rFonts w:ascii="Bookman Old Style" w:hAnsi="Bookman Old Style"/>
          <w:sz w:val="28"/>
          <w:szCs w:val="28"/>
        </w:rPr>
        <w:t xml:space="preserve"> contrato </w:t>
      </w:r>
      <w:r w:rsidR="00042BE7" w:rsidRPr="00670186">
        <w:rPr>
          <w:rFonts w:ascii="Bookman Old Style" w:hAnsi="Bookman Old Style"/>
          <w:sz w:val="28"/>
          <w:szCs w:val="28"/>
        </w:rPr>
        <w:t>No</w:t>
      </w:r>
      <w:r w:rsidRPr="00670186">
        <w:rPr>
          <w:rFonts w:ascii="Bookman Old Style" w:hAnsi="Bookman Old Style"/>
          <w:sz w:val="28"/>
          <w:szCs w:val="28"/>
        </w:rPr>
        <w:t>. 541 de 2011</w:t>
      </w:r>
      <w:r w:rsidR="00042BE7" w:rsidRPr="00670186">
        <w:rPr>
          <w:rFonts w:ascii="Bookman Old Style" w:hAnsi="Bookman Old Style"/>
          <w:sz w:val="28"/>
          <w:szCs w:val="28"/>
        </w:rPr>
        <w:t xml:space="preserve">, que se celebrara entre la </w:t>
      </w:r>
      <w:r w:rsidRPr="00670186">
        <w:rPr>
          <w:rFonts w:ascii="Bookman Old Style" w:hAnsi="Bookman Old Style"/>
          <w:sz w:val="28"/>
          <w:szCs w:val="28"/>
        </w:rPr>
        <w:t xml:space="preserve">Gobernación del Magdalena y la Fundación para la Asesoría e Investigaciones </w:t>
      </w:r>
      <w:r w:rsidR="00042BE7" w:rsidRPr="00670186">
        <w:rPr>
          <w:rFonts w:ascii="Bookman Old Style" w:hAnsi="Bookman Old Style"/>
          <w:sz w:val="28"/>
          <w:szCs w:val="28"/>
        </w:rPr>
        <w:t>C</w:t>
      </w:r>
      <w:r w:rsidRPr="00670186">
        <w:rPr>
          <w:rFonts w:ascii="Bookman Old Style" w:hAnsi="Bookman Old Style"/>
          <w:sz w:val="28"/>
          <w:szCs w:val="28"/>
        </w:rPr>
        <w:t>ientíficas y Pedagógicas FUNPED</w:t>
      </w:r>
      <w:r w:rsidR="00042BE7" w:rsidRPr="00670186">
        <w:rPr>
          <w:rFonts w:ascii="Bookman Old Style" w:hAnsi="Bookman Old Style"/>
          <w:sz w:val="28"/>
          <w:szCs w:val="28"/>
        </w:rPr>
        <w:t>.</w:t>
      </w:r>
    </w:p>
    <w:p w:rsidR="00042BE7" w:rsidRPr="00670186" w:rsidRDefault="00042BE7" w:rsidP="00C71AD2">
      <w:pPr>
        <w:spacing w:line="360" w:lineRule="auto"/>
        <w:ind w:firstLine="708"/>
        <w:jc w:val="both"/>
        <w:rPr>
          <w:rFonts w:ascii="Bookman Old Style" w:hAnsi="Bookman Old Style"/>
          <w:sz w:val="28"/>
          <w:szCs w:val="28"/>
        </w:rPr>
      </w:pPr>
    </w:p>
    <w:p w:rsidR="00042BE7" w:rsidRPr="00670186" w:rsidRDefault="00042BE7" w:rsidP="00042BE7">
      <w:pPr>
        <w:spacing w:line="360" w:lineRule="auto"/>
        <w:ind w:firstLine="708"/>
        <w:jc w:val="both"/>
        <w:rPr>
          <w:rFonts w:ascii="Bookman Old Style" w:hAnsi="Bookman Old Style"/>
          <w:sz w:val="28"/>
          <w:szCs w:val="28"/>
        </w:rPr>
      </w:pPr>
      <w:r w:rsidRPr="00670186">
        <w:rPr>
          <w:rFonts w:ascii="Bookman Old Style" w:hAnsi="Bookman Old Style"/>
          <w:sz w:val="28"/>
          <w:szCs w:val="28"/>
        </w:rPr>
        <w:t>El objeto contractual consistía en “la prestación de servicios educativos a 2617 estudiantes de los establecimientos públicos de los municipios de El Banco, Plato, Tenerife, Nueva Granada, San Ángel y Aracataca</w:t>
      </w:r>
      <w:r w:rsidR="00E52FC8" w:rsidRPr="00670186">
        <w:rPr>
          <w:rFonts w:ascii="Bookman Old Style" w:hAnsi="Bookman Old Style"/>
          <w:sz w:val="28"/>
          <w:szCs w:val="28"/>
        </w:rPr>
        <w:t>”, cuyo valor ascendía a dos mil ochocientos setenta y nueve</w:t>
      </w:r>
      <w:r w:rsidRPr="00670186">
        <w:rPr>
          <w:rFonts w:ascii="Bookman Old Style" w:hAnsi="Bookman Old Style"/>
          <w:sz w:val="28"/>
          <w:szCs w:val="28"/>
        </w:rPr>
        <w:t xml:space="preserve"> millones de pesos</w:t>
      </w:r>
      <w:r w:rsidR="00E52FC8" w:rsidRPr="00670186">
        <w:rPr>
          <w:rFonts w:ascii="Bookman Old Style" w:hAnsi="Bookman Old Style"/>
          <w:sz w:val="28"/>
          <w:szCs w:val="28"/>
        </w:rPr>
        <w:t xml:space="preserve"> ($2.879´000.000).</w:t>
      </w:r>
    </w:p>
    <w:p w:rsidR="00042BE7" w:rsidRPr="00670186" w:rsidRDefault="00042BE7" w:rsidP="00C71AD2">
      <w:pPr>
        <w:spacing w:line="360" w:lineRule="auto"/>
        <w:ind w:firstLine="708"/>
        <w:jc w:val="both"/>
        <w:rPr>
          <w:rFonts w:ascii="Bookman Old Style" w:hAnsi="Bookman Old Style"/>
          <w:sz w:val="28"/>
          <w:szCs w:val="28"/>
        </w:rPr>
      </w:pPr>
    </w:p>
    <w:p w:rsidR="00A47760" w:rsidRPr="00670186" w:rsidRDefault="00042BE7" w:rsidP="00C71AD2">
      <w:pPr>
        <w:spacing w:line="360" w:lineRule="auto"/>
        <w:ind w:firstLine="708"/>
        <w:jc w:val="both"/>
        <w:rPr>
          <w:rFonts w:ascii="Bookman Old Style" w:hAnsi="Bookman Old Style"/>
          <w:sz w:val="28"/>
          <w:szCs w:val="28"/>
        </w:rPr>
      </w:pPr>
      <w:r w:rsidRPr="00670186">
        <w:rPr>
          <w:rFonts w:ascii="Bookman Old Style" w:hAnsi="Bookman Old Style"/>
          <w:sz w:val="28"/>
          <w:szCs w:val="28"/>
        </w:rPr>
        <w:lastRenderedPageBreak/>
        <w:t>Del análisis realizado por el ente fiscal,</w:t>
      </w:r>
      <w:r w:rsidR="00E52FC8" w:rsidRPr="00670186">
        <w:rPr>
          <w:rFonts w:ascii="Bookman Old Style" w:hAnsi="Bookman Old Style"/>
          <w:sz w:val="28"/>
          <w:szCs w:val="28"/>
        </w:rPr>
        <w:t xml:space="preserve"> en el que se soporta la investigación adelantada por l</w:t>
      </w:r>
      <w:r w:rsidR="00A47760" w:rsidRPr="00670186">
        <w:rPr>
          <w:rFonts w:ascii="Bookman Old Style" w:hAnsi="Bookman Old Style"/>
          <w:sz w:val="28"/>
          <w:szCs w:val="28"/>
        </w:rPr>
        <w:t>a</w:t>
      </w:r>
      <w:r w:rsidR="00E52FC8" w:rsidRPr="00670186">
        <w:rPr>
          <w:rFonts w:ascii="Bookman Old Style" w:hAnsi="Bookman Old Style"/>
          <w:sz w:val="28"/>
          <w:szCs w:val="28"/>
        </w:rPr>
        <w:t xml:space="preserve"> Fiscalía General de la Nación, </w:t>
      </w:r>
      <w:r w:rsidRPr="00670186">
        <w:rPr>
          <w:rFonts w:ascii="Bookman Old Style" w:hAnsi="Bookman Old Style"/>
          <w:sz w:val="28"/>
          <w:szCs w:val="28"/>
        </w:rPr>
        <w:t xml:space="preserve">se concluye que en el contrato aludido </w:t>
      </w:r>
      <w:r w:rsidR="00C71AD2" w:rsidRPr="00670186">
        <w:rPr>
          <w:rFonts w:ascii="Bookman Old Style" w:hAnsi="Bookman Old Style"/>
          <w:sz w:val="28"/>
          <w:szCs w:val="28"/>
        </w:rPr>
        <w:t>se desconocieron los requisitos establecidos en el artículo 1</w:t>
      </w:r>
      <w:r w:rsidRPr="00670186">
        <w:rPr>
          <w:rFonts w:ascii="Bookman Old Style" w:hAnsi="Bookman Old Style"/>
          <w:sz w:val="28"/>
          <w:szCs w:val="28"/>
        </w:rPr>
        <w:t>°</w:t>
      </w:r>
      <w:r w:rsidR="00C71AD2" w:rsidRPr="00670186">
        <w:rPr>
          <w:rFonts w:ascii="Bookman Old Style" w:hAnsi="Bookman Old Style"/>
          <w:sz w:val="28"/>
          <w:szCs w:val="28"/>
        </w:rPr>
        <w:t xml:space="preserve"> del </w:t>
      </w:r>
      <w:r w:rsidRPr="00670186">
        <w:rPr>
          <w:rFonts w:ascii="Bookman Old Style" w:hAnsi="Bookman Old Style"/>
          <w:sz w:val="28"/>
          <w:szCs w:val="28"/>
        </w:rPr>
        <w:t>D</w:t>
      </w:r>
      <w:r w:rsidR="00C71AD2" w:rsidRPr="00670186">
        <w:rPr>
          <w:rFonts w:ascii="Bookman Old Style" w:hAnsi="Bookman Old Style"/>
          <w:sz w:val="28"/>
          <w:szCs w:val="28"/>
        </w:rPr>
        <w:t xml:space="preserve">ecreto 2355 de 2009, la Directiva Ministerial </w:t>
      </w:r>
      <w:r w:rsidRPr="00670186">
        <w:rPr>
          <w:rFonts w:ascii="Bookman Old Style" w:hAnsi="Bookman Old Style"/>
          <w:sz w:val="28"/>
          <w:szCs w:val="28"/>
        </w:rPr>
        <w:t>No</w:t>
      </w:r>
      <w:r w:rsidR="00C71AD2" w:rsidRPr="00670186">
        <w:rPr>
          <w:rFonts w:ascii="Bookman Old Style" w:hAnsi="Bookman Old Style"/>
          <w:sz w:val="28"/>
          <w:szCs w:val="28"/>
        </w:rPr>
        <w:t>. 24 de 2009, así como lo ordenado por la Dirección de Fortalecimiento a la Gestión Territorial del Ministerio de Educación Nacional</w:t>
      </w:r>
      <w:r w:rsidRPr="00670186">
        <w:rPr>
          <w:rFonts w:ascii="Bookman Old Style" w:hAnsi="Bookman Old Style"/>
          <w:sz w:val="28"/>
          <w:szCs w:val="28"/>
        </w:rPr>
        <w:t>,</w:t>
      </w:r>
      <w:r w:rsidR="00C71AD2" w:rsidRPr="00670186">
        <w:rPr>
          <w:rFonts w:ascii="Bookman Old Style" w:hAnsi="Bookman Old Style"/>
          <w:sz w:val="28"/>
          <w:szCs w:val="28"/>
        </w:rPr>
        <w:t xml:space="preserve"> mediante oficios </w:t>
      </w:r>
      <w:r w:rsidR="006D3F65" w:rsidRPr="00670186">
        <w:rPr>
          <w:rFonts w:ascii="Bookman Old Style" w:hAnsi="Bookman Old Style"/>
          <w:sz w:val="28"/>
          <w:szCs w:val="28"/>
        </w:rPr>
        <w:t>N</w:t>
      </w:r>
      <w:r w:rsidR="00C71AD2" w:rsidRPr="00670186">
        <w:rPr>
          <w:rFonts w:ascii="Bookman Old Style" w:hAnsi="Bookman Old Style"/>
          <w:sz w:val="28"/>
          <w:szCs w:val="28"/>
        </w:rPr>
        <w:t>o. 2011E20652 y 2011EE36792 de julio de 2011</w:t>
      </w:r>
      <w:r w:rsidR="00A47760" w:rsidRPr="00670186">
        <w:rPr>
          <w:rFonts w:ascii="Bookman Old Style" w:hAnsi="Bookman Old Style"/>
          <w:sz w:val="28"/>
          <w:szCs w:val="28"/>
        </w:rPr>
        <w:t>.</w:t>
      </w:r>
    </w:p>
    <w:p w:rsidR="004C40B7" w:rsidRPr="00670186" w:rsidRDefault="004C40B7" w:rsidP="00C71AD2">
      <w:pPr>
        <w:spacing w:line="360" w:lineRule="auto"/>
        <w:ind w:firstLine="708"/>
        <w:jc w:val="both"/>
        <w:rPr>
          <w:rFonts w:ascii="Bookman Old Style" w:hAnsi="Bookman Old Style"/>
          <w:sz w:val="28"/>
          <w:szCs w:val="28"/>
        </w:rPr>
      </w:pPr>
    </w:p>
    <w:p w:rsidR="00C71AD2" w:rsidRPr="00670186" w:rsidRDefault="0035397E" w:rsidP="00C71AD2">
      <w:pPr>
        <w:spacing w:line="360" w:lineRule="auto"/>
        <w:ind w:firstLine="708"/>
        <w:jc w:val="both"/>
        <w:rPr>
          <w:rFonts w:ascii="Bookman Old Style" w:hAnsi="Bookman Old Style"/>
          <w:sz w:val="28"/>
          <w:szCs w:val="28"/>
        </w:rPr>
      </w:pPr>
      <w:r w:rsidRPr="00670186">
        <w:rPr>
          <w:rFonts w:ascii="Bookman Old Style" w:hAnsi="Bookman Old Style"/>
          <w:sz w:val="28"/>
          <w:szCs w:val="28"/>
        </w:rPr>
        <w:t xml:space="preserve">La Fiscalía delegada ante la Corte Suprema de Justicia, mediante noticia criminal 110016000102201500331, dio inicio a la indagación correspondiente, resultando </w:t>
      </w:r>
      <w:r w:rsidR="00A47760" w:rsidRPr="00670186">
        <w:rPr>
          <w:rFonts w:ascii="Bookman Old Style" w:hAnsi="Bookman Old Style"/>
          <w:sz w:val="28"/>
          <w:szCs w:val="28"/>
        </w:rPr>
        <w:t xml:space="preserve">preciso advertir que </w:t>
      </w:r>
      <w:r w:rsidRPr="00670186">
        <w:rPr>
          <w:rFonts w:ascii="Bookman Old Style" w:hAnsi="Bookman Old Style"/>
          <w:sz w:val="28"/>
          <w:szCs w:val="28"/>
        </w:rPr>
        <w:t xml:space="preserve">también </w:t>
      </w:r>
      <w:r w:rsidR="00A47760" w:rsidRPr="00670186">
        <w:rPr>
          <w:rFonts w:ascii="Bookman Old Style" w:hAnsi="Bookman Old Style"/>
          <w:sz w:val="28"/>
          <w:szCs w:val="28"/>
        </w:rPr>
        <w:t xml:space="preserve">cursa actuación investigativa </w:t>
      </w:r>
      <w:r w:rsidR="008B4A0D" w:rsidRPr="00670186">
        <w:rPr>
          <w:rFonts w:ascii="Bookman Old Style" w:hAnsi="Bookman Old Style"/>
          <w:sz w:val="28"/>
          <w:szCs w:val="28"/>
        </w:rPr>
        <w:t>bajo el radicado 47001</w:t>
      </w:r>
      <w:r w:rsidR="000829C6" w:rsidRPr="00670186">
        <w:rPr>
          <w:rFonts w:ascii="Bookman Old Style" w:hAnsi="Bookman Old Style"/>
          <w:sz w:val="28"/>
          <w:szCs w:val="28"/>
        </w:rPr>
        <w:t xml:space="preserve">6001022013000159, a cargo de la Fiscalía </w:t>
      </w:r>
      <w:r w:rsidR="009F10D3" w:rsidRPr="00670186">
        <w:rPr>
          <w:rFonts w:ascii="Bookman Old Style" w:hAnsi="Bookman Old Style"/>
          <w:sz w:val="28"/>
          <w:szCs w:val="28"/>
        </w:rPr>
        <w:t>O</w:t>
      </w:r>
      <w:r w:rsidR="000829C6" w:rsidRPr="00670186">
        <w:rPr>
          <w:rFonts w:ascii="Bookman Old Style" w:hAnsi="Bookman Old Style"/>
          <w:sz w:val="28"/>
          <w:szCs w:val="28"/>
        </w:rPr>
        <w:t>nce Seccional de Santa Marta,</w:t>
      </w:r>
      <w:r w:rsidR="002C497A" w:rsidRPr="00670186">
        <w:rPr>
          <w:rFonts w:ascii="Bookman Old Style" w:hAnsi="Bookman Old Style"/>
          <w:sz w:val="28"/>
          <w:szCs w:val="28"/>
        </w:rPr>
        <w:t xml:space="preserve"> en contra de las personas que no ostentan la calidad foral.</w:t>
      </w:r>
    </w:p>
    <w:p w:rsidR="0078791C" w:rsidRPr="00670186" w:rsidRDefault="0078791C" w:rsidP="00C71AD2">
      <w:pPr>
        <w:spacing w:line="360" w:lineRule="auto"/>
        <w:ind w:firstLine="708"/>
        <w:jc w:val="both"/>
        <w:rPr>
          <w:rFonts w:ascii="Bookman Old Style" w:hAnsi="Bookman Old Style"/>
          <w:sz w:val="28"/>
          <w:szCs w:val="28"/>
        </w:rPr>
      </w:pPr>
    </w:p>
    <w:p w:rsidR="009F10D3" w:rsidRPr="00670186" w:rsidRDefault="0078791C" w:rsidP="0078791C">
      <w:pPr>
        <w:spacing w:line="360" w:lineRule="auto"/>
        <w:ind w:firstLine="708"/>
        <w:jc w:val="both"/>
        <w:rPr>
          <w:rFonts w:ascii="Bookman Old Style" w:hAnsi="Bookman Old Style"/>
          <w:sz w:val="28"/>
          <w:szCs w:val="28"/>
        </w:rPr>
      </w:pPr>
      <w:r w:rsidRPr="00670186">
        <w:rPr>
          <w:rFonts w:ascii="Bookman Old Style" w:hAnsi="Bookman Old Style"/>
          <w:sz w:val="28"/>
          <w:szCs w:val="28"/>
        </w:rPr>
        <w:t>Como soportes de la solicitud de preclusión, el delegado del ente acusador aportó co</w:t>
      </w:r>
      <w:r w:rsidRPr="00670186">
        <w:rPr>
          <w:rFonts w:ascii="Bookman Old Style" w:hAnsi="Bookman Old Style"/>
          <w:spacing w:val="-3"/>
          <w:sz w:val="28"/>
          <w:szCs w:val="28"/>
        </w:rPr>
        <w:t>pia del Decreto 4812 de</w:t>
      </w:r>
      <w:r w:rsidR="00363368" w:rsidRPr="00670186">
        <w:rPr>
          <w:rFonts w:ascii="Bookman Old Style" w:hAnsi="Bookman Old Style"/>
          <w:spacing w:val="-3"/>
          <w:sz w:val="28"/>
          <w:szCs w:val="28"/>
        </w:rPr>
        <w:t>l</w:t>
      </w:r>
      <w:r w:rsidRPr="00670186">
        <w:rPr>
          <w:rFonts w:ascii="Bookman Old Style" w:hAnsi="Bookman Old Style"/>
          <w:spacing w:val="-3"/>
          <w:sz w:val="28"/>
          <w:szCs w:val="28"/>
        </w:rPr>
        <w:t xml:space="preserve"> 29 de diciembre de 2010, mediante el cual fue </w:t>
      </w:r>
      <w:r w:rsidRPr="00670186">
        <w:rPr>
          <w:rFonts w:ascii="Bookman Old Style" w:hAnsi="Bookman Old Style"/>
          <w:sz w:val="28"/>
          <w:szCs w:val="28"/>
        </w:rPr>
        <w:t>designado MANUEL JOSÉ BONET LOCARNO</w:t>
      </w:r>
      <w:r w:rsidR="009F10D3" w:rsidRPr="00670186">
        <w:rPr>
          <w:rFonts w:ascii="Bookman Old Style" w:hAnsi="Bookman Old Style"/>
          <w:sz w:val="28"/>
          <w:szCs w:val="28"/>
        </w:rPr>
        <w:t xml:space="preserve">, identificado con la cédula de ciudadanía número 4.260.535, </w:t>
      </w:r>
      <w:r w:rsidRPr="00670186">
        <w:rPr>
          <w:rFonts w:ascii="Bookman Old Style" w:hAnsi="Bookman Old Style"/>
          <w:sz w:val="28"/>
          <w:szCs w:val="28"/>
        </w:rPr>
        <w:t xml:space="preserve">como </w:t>
      </w:r>
      <w:r w:rsidR="009F10D3" w:rsidRPr="00670186">
        <w:rPr>
          <w:rFonts w:ascii="Bookman Old Style" w:hAnsi="Bookman Old Style"/>
          <w:sz w:val="28"/>
          <w:szCs w:val="28"/>
        </w:rPr>
        <w:t>g</w:t>
      </w:r>
      <w:r w:rsidRPr="00670186">
        <w:rPr>
          <w:rFonts w:ascii="Bookman Old Style" w:hAnsi="Bookman Old Style"/>
          <w:sz w:val="28"/>
          <w:szCs w:val="28"/>
        </w:rPr>
        <w:t xml:space="preserve">obernador encargado del </w:t>
      </w:r>
      <w:r w:rsidR="00363368" w:rsidRPr="00670186">
        <w:rPr>
          <w:rFonts w:ascii="Bookman Old Style" w:hAnsi="Bookman Old Style"/>
          <w:sz w:val="28"/>
          <w:szCs w:val="28"/>
        </w:rPr>
        <w:t>departamento</w:t>
      </w:r>
      <w:r w:rsidRPr="00670186">
        <w:rPr>
          <w:rFonts w:ascii="Bookman Old Style" w:hAnsi="Bookman Old Style"/>
          <w:sz w:val="28"/>
          <w:szCs w:val="28"/>
        </w:rPr>
        <w:t xml:space="preserve"> del Magdalena</w:t>
      </w:r>
      <w:r w:rsidR="00364D06" w:rsidRPr="00670186">
        <w:rPr>
          <w:rFonts w:ascii="Bookman Old Style" w:hAnsi="Bookman Old Style"/>
          <w:sz w:val="28"/>
          <w:szCs w:val="28"/>
        </w:rPr>
        <w:t xml:space="preserve">. </w:t>
      </w:r>
    </w:p>
    <w:p w:rsidR="009F10D3" w:rsidRPr="00670186" w:rsidRDefault="009F10D3" w:rsidP="0078791C">
      <w:pPr>
        <w:spacing w:line="360" w:lineRule="auto"/>
        <w:ind w:firstLine="708"/>
        <w:jc w:val="both"/>
        <w:rPr>
          <w:rFonts w:ascii="Bookman Old Style" w:hAnsi="Bookman Old Style"/>
          <w:sz w:val="28"/>
          <w:szCs w:val="28"/>
        </w:rPr>
      </w:pPr>
    </w:p>
    <w:p w:rsidR="009F10D3" w:rsidRPr="00670186" w:rsidRDefault="00364D06" w:rsidP="009F10D3">
      <w:pPr>
        <w:spacing w:line="360" w:lineRule="auto"/>
        <w:ind w:firstLine="708"/>
        <w:jc w:val="both"/>
        <w:rPr>
          <w:rFonts w:ascii="Bookman Old Style" w:hAnsi="Bookman Old Style"/>
          <w:sz w:val="28"/>
          <w:szCs w:val="28"/>
        </w:rPr>
      </w:pPr>
      <w:r w:rsidRPr="00670186">
        <w:rPr>
          <w:rFonts w:ascii="Bookman Old Style" w:hAnsi="Bookman Old Style"/>
          <w:sz w:val="28"/>
          <w:szCs w:val="28"/>
        </w:rPr>
        <w:t>A su vez, aportó copia simple d</w:t>
      </w:r>
      <w:r w:rsidR="0078791C" w:rsidRPr="00670186">
        <w:rPr>
          <w:rFonts w:ascii="Bookman Old Style" w:hAnsi="Bookman Old Style"/>
          <w:sz w:val="28"/>
          <w:szCs w:val="28"/>
        </w:rPr>
        <w:t xml:space="preserve">el registro </w:t>
      </w:r>
      <w:r w:rsidRPr="00670186">
        <w:rPr>
          <w:rFonts w:ascii="Bookman Old Style" w:hAnsi="Bookman Old Style"/>
          <w:sz w:val="28"/>
          <w:szCs w:val="28"/>
        </w:rPr>
        <w:t xml:space="preserve">civil </w:t>
      </w:r>
      <w:r w:rsidR="0078791C" w:rsidRPr="00670186">
        <w:rPr>
          <w:rFonts w:ascii="Bookman Old Style" w:hAnsi="Bookman Old Style"/>
          <w:sz w:val="28"/>
          <w:szCs w:val="28"/>
        </w:rPr>
        <w:t xml:space="preserve">de defunción </w:t>
      </w:r>
      <w:r w:rsidRPr="00670186">
        <w:rPr>
          <w:rFonts w:ascii="Bookman Old Style" w:hAnsi="Bookman Old Style"/>
          <w:sz w:val="28"/>
          <w:szCs w:val="28"/>
        </w:rPr>
        <w:t>con indicativo serial No. 09614926</w:t>
      </w:r>
      <w:r w:rsidR="003F4C1E" w:rsidRPr="00670186">
        <w:rPr>
          <w:rFonts w:ascii="Bookman Old Style" w:hAnsi="Bookman Old Style"/>
          <w:sz w:val="28"/>
          <w:szCs w:val="28"/>
        </w:rPr>
        <w:t>, que evidencia que el deceso del BONETT LOCARNO tuvo ocurrencia el día</w:t>
      </w:r>
      <w:r w:rsidR="009F10D3" w:rsidRPr="00670186">
        <w:rPr>
          <w:rFonts w:ascii="Bookman Old Style" w:hAnsi="Bookman Old Style"/>
          <w:sz w:val="28"/>
          <w:szCs w:val="28"/>
        </w:rPr>
        <w:t xml:space="preserve"> 15 de junio de 2018.</w:t>
      </w:r>
    </w:p>
    <w:p w:rsidR="0078791C" w:rsidRPr="00670186" w:rsidRDefault="00364D06" w:rsidP="0078791C">
      <w:pPr>
        <w:spacing w:line="360" w:lineRule="auto"/>
        <w:ind w:firstLine="708"/>
        <w:jc w:val="both"/>
        <w:rPr>
          <w:rFonts w:ascii="Bookman Old Style" w:hAnsi="Bookman Old Style"/>
          <w:sz w:val="28"/>
          <w:szCs w:val="28"/>
        </w:rPr>
      </w:pPr>
      <w:r w:rsidRPr="00670186">
        <w:rPr>
          <w:rFonts w:ascii="Bookman Old Style" w:hAnsi="Bookman Old Style"/>
          <w:sz w:val="28"/>
          <w:szCs w:val="28"/>
        </w:rPr>
        <w:t xml:space="preserve"> </w:t>
      </w:r>
    </w:p>
    <w:p w:rsidR="00574671" w:rsidRPr="00670186" w:rsidRDefault="0035397E" w:rsidP="00E75423">
      <w:pPr>
        <w:spacing w:line="360" w:lineRule="auto"/>
        <w:jc w:val="both"/>
        <w:rPr>
          <w:rFonts w:ascii="Bookman Old Style" w:hAnsi="Bookman Old Style"/>
          <w:sz w:val="28"/>
          <w:szCs w:val="28"/>
        </w:rPr>
      </w:pPr>
      <w:r w:rsidRPr="00670186">
        <w:rPr>
          <w:rFonts w:ascii="Bookman Old Style" w:hAnsi="Bookman Old Style"/>
          <w:sz w:val="28"/>
          <w:szCs w:val="28"/>
        </w:rPr>
        <w:lastRenderedPageBreak/>
        <w:tab/>
      </w:r>
      <w:r w:rsidR="009F1D2F" w:rsidRPr="00670186">
        <w:rPr>
          <w:rFonts w:ascii="Bookman Old Style" w:hAnsi="Bookman Old Style"/>
          <w:sz w:val="28"/>
          <w:szCs w:val="28"/>
        </w:rPr>
        <w:t xml:space="preserve">Por su naturaleza de documentos públicos, </w:t>
      </w:r>
      <w:r w:rsidR="00DE4A42" w:rsidRPr="00670186">
        <w:rPr>
          <w:rFonts w:ascii="Bookman Old Style" w:hAnsi="Bookman Old Style"/>
          <w:sz w:val="28"/>
          <w:szCs w:val="28"/>
        </w:rPr>
        <w:t xml:space="preserve">y atendiendo que </w:t>
      </w:r>
      <w:r w:rsidR="00574671" w:rsidRPr="00670186">
        <w:rPr>
          <w:rFonts w:ascii="Bookman Old Style" w:hAnsi="Bookman Old Style"/>
          <w:sz w:val="28"/>
          <w:szCs w:val="28"/>
        </w:rPr>
        <w:t>las partes e intervinientes no ofrecieron observación alguna sobre su utilización, los documentos aportados como fundamento de la petición de preclusión se tendrán como auténticos.</w:t>
      </w:r>
    </w:p>
    <w:p w:rsidR="00574671" w:rsidRPr="00670186" w:rsidRDefault="00574671" w:rsidP="00E75423">
      <w:pPr>
        <w:spacing w:line="360" w:lineRule="auto"/>
        <w:jc w:val="both"/>
        <w:rPr>
          <w:rFonts w:ascii="Bookman Old Style" w:hAnsi="Bookman Old Style"/>
          <w:sz w:val="28"/>
          <w:szCs w:val="28"/>
        </w:rPr>
      </w:pPr>
    </w:p>
    <w:p w:rsidR="00574671" w:rsidRPr="00670186" w:rsidRDefault="00574671" w:rsidP="00E75423">
      <w:pPr>
        <w:spacing w:line="360" w:lineRule="auto"/>
        <w:jc w:val="both"/>
        <w:rPr>
          <w:rFonts w:ascii="Bookman Old Style" w:hAnsi="Bookman Old Style"/>
          <w:sz w:val="28"/>
          <w:szCs w:val="28"/>
        </w:rPr>
      </w:pPr>
    </w:p>
    <w:p w:rsidR="00E52FC8" w:rsidRPr="00670186" w:rsidRDefault="002C497A" w:rsidP="002C497A">
      <w:pPr>
        <w:spacing w:line="360" w:lineRule="auto"/>
        <w:jc w:val="center"/>
        <w:rPr>
          <w:rFonts w:ascii="Bookman Old Style" w:hAnsi="Bookman Old Style"/>
          <w:b/>
          <w:sz w:val="28"/>
          <w:szCs w:val="28"/>
        </w:rPr>
      </w:pPr>
      <w:r w:rsidRPr="00670186">
        <w:rPr>
          <w:rFonts w:ascii="Bookman Old Style" w:hAnsi="Bookman Old Style"/>
          <w:b/>
          <w:sz w:val="28"/>
          <w:szCs w:val="28"/>
        </w:rPr>
        <w:t>SUSTENTACIÓN DE LA SOLICITUD DE PRECLUSIÓN</w:t>
      </w:r>
    </w:p>
    <w:p w:rsidR="002C497A" w:rsidRPr="00670186" w:rsidRDefault="002C497A" w:rsidP="002C497A">
      <w:pPr>
        <w:spacing w:line="360" w:lineRule="auto"/>
        <w:rPr>
          <w:rFonts w:ascii="Bookman Old Style" w:hAnsi="Bookman Old Style"/>
          <w:b/>
          <w:sz w:val="28"/>
          <w:szCs w:val="28"/>
        </w:rPr>
      </w:pPr>
    </w:p>
    <w:p w:rsidR="00026560" w:rsidRPr="00670186" w:rsidRDefault="002C497A" w:rsidP="00026560">
      <w:pPr>
        <w:spacing w:line="360" w:lineRule="auto"/>
        <w:ind w:firstLine="708"/>
        <w:jc w:val="both"/>
        <w:rPr>
          <w:rFonts w:ascii="Bookman Old Style" w:hAnsi="Bookman Old Style"/>
          <w:sz w:val="28"/>
          <w:szCs w:val="28"/>
        </w:rPr>
      </w:pPr>
      <w:r w:rsidRPr="00670186">
        <w:rPr>
          <w:rFonts w:ascii="Bookman Old Style" w:hAnsi="Bookman Old Style"/>
          <w:sz w:val="28"/>
          <w:szCs w:val="28"/>
        </w:rPr>
        <w:t xml:space="preserve">El fiscal </w:t>
      </w:r>
      <w:r w:rsidR="005B4DEC" w:rsidRPr="00670186">
        <w:rPr>
          <w:rFonts w:ascii="Bookman Old Style" w:hAnsi="Bookman Old Style"/>
          <w:sz w:val="28"/>
          <w:szCs w:val="28"/>
        </w:rPr>
        <w:t>O</w:t>
      </w:r>
      <w:r w:rsidRPr="00670186">
        <w:rPr>
          <w:rFonts w:ascii="Bookman Old Style" w:hAnsi="Bookman Old Style"/>
          <w:sz w:val="28"/>
          <w:szCs w:val="28"/>
        </w:rPr>
        <w:t>nce</w:t>
      </w:r>
      <w:r w:rsidR="003A6F54" w:rsidRPr="00670186">
        <w:rPr>
          <w:rFonts w:ascii="Bookman Old Style" w:hAnsi="Bookman Old Style"/>
          <w:sz w:val="28"/>
          <w:szCs w:val="28"/>
        </w:rPr>
        <w:t xml:space="preserve"> </w:t>
      </w:r>
      <w:r w:rsidR="005B4DEC" w:rsidRPr="00670186">
        <w:rPr>
          <w:rFonts w:ascii="Bookman Old Style" w:hAnsi="Bookman Old Style"/>
          <w:sz w:val="28"/>
          <w:szCs w:val="28"/>
        </w:rPr>
        <w:t>D</w:t>
      </w:r>
      <w:r w:rsidR="003A6F54" w:rsidRPr="00670186">
        <w:rPr>
          <w:rFonts w:ascii="Bookman Old Style" w:hAnsi="Bookman Old Style"/>
          <w:sz w:val="28"/>
          <w:szCs w:val="28"/>
        </w:rPr>
        <w:t xml:space="preserve">elegado ante esta corporación, </w:t>
      </w:r>
      <w:r w:rsidR="002B7BF6" w:rsidRPr="00670186">
        <w:rPr>
          <w:rFonts w:ascii="Bookman Old Style" w:hAnsi="Bookman Old Style"/>
          <w:sz w:val="28"/>
          <w:szCs w:val="28"/>
        </w:rPr>
        <w:t>eleva solicitud preclusiva al amparo de la causal primera del artículo 332 de la ley 906 de 2004, con ocasión de la muerte del procesado, lo que a la luz del artículo 77 de la misma normativa</w:t>
      </w:r>
      <w:r w:rsidR="00026560" w:rsidRPr="00670186">
        <w:rPr>
          <w:rFonts w:ascii="Bookman Old Style" w:hAnsi="Bookman Old Style"/>
          <w:sz w:val="28"/>
          <w:szCs w:val="28"/>
        </w:rPr>
        <w:t xml:space="preserve"> conduce a la extinción de la acción penal, por imposibilidad de proseguir su ejercicio.</w:t>
      </w:r>
      <w:r w:rsidR="002B7BF6" w:rsidRPr="00670186">
        <w:rPr>
          <w:rFonts w:ascii="Bookman Old Style" w:hAnsi="Bookman Old Style"/>
          <w:sz w:val="28"/>
          <w:szCs w:val="28"/>
        </w:rPr>
        <w:t xml:space="preserve">  </w:t>
      </w:r>
    </w:p>
    <w:p w:rsidR="00B827A4" w:rsidRPr="00670186" w:rsidRDefault="00B827A4" w:rsidP="00026560">
      <w:pPr>
        <w:spacing w:line="360" w:lineRule="auto"/>
        <w:ind w:firstLine="708"/>
        <w:jc w:val="both"/>
        <w:rPr>
          <w:rFonts w:ascii="Bookman Old Style" w:hAnsi="Bookman Old Style"/>
          <w:sz w:val="28"/>
          <w:szCs w:val="28"/>
        </w:rPr>
      </w:pPr>
    </w:p>
    <w:p w:rsidR="00D70719" w:rsidRPr="00670186" w:rsidRDefault="009F10D3" w:rsidP="00026560">
      <w:pPr>
        <w:spacing w:line="360" w:lineRule="auto"/>
        <w:ind w:firstLine="708"/>
        <w:jc w:val="both"/>
        <w:rPr>
          <w:rFonts w:ascii="Bookman Old Style" w:hAnsi="Bookman Old Style"/>
          <w:sz w:val="28"/>
          <w:szCs w:val="28"/>
        </w:rPr>
      </w:pPr>
      <w:r w:rsidRPr="00670186">
        <w:rPr>
          <w:rFonts w:ascii="Bookman Old Style" w:hAnsi="Bookman Old Style"/>
          <w:sz w:val="28"/>
          <w:szCs w:val="28"/>
        </w:rPr>
        <w:t>Tanto la representación de víctimas, como el delegado del Ministerio Público y l</w:t>
      </w:r>
      <w:r w:rsidR="00D70719" w:rsidRPr="00670186">
        <w:rPr>
          <w:rFonts w:ascii="Bookman Old Style" w:hAnsi="Bookman Old Style"/>
          <w:sz w:val="28"/>
          <w:szCs w:val="28"/>
        </w:rPr>
        <w:t xml:space="preserve">a defensa coadyuva el pedido preclusivo presentado por el </w:t>
      </w:r>
      <w:r w:rsidRPr="00670186">
        <w:rPr>
          <w:rFonts w:ascii="Bookman Old Style" w:hAnsi="Bookman Old Style"/>
          <w:sz w:val="28"/>
          <w:szCs w:val="28"/>
        </w:rPr>
        <w:t xml:space="preserve">representante </w:t>
      </w:r>
      <w:r w:rsidR="00D70719" w:rsidRPr="00670186">
        <w:rPr>
          <w:rFonts w:ascii="Bookman Old Style" w:hAnsi="Bookman Old Style"/>
          <w:sz w:val="28"/>
          <w:szCs w:val="28"/>
        </w:rPr>
        <w:t xml:space="preserve">de la Fiscalía, </w:t>
      </w:r>
      <w:proofErr w:type="gramStart"/>
      <w:r w:rsidR="00D70719" w:rsidRPr="00670186">
        <w:rPr>
          <w:rFonts w:ascii="Bookman Old Style" w:hAnsi="Bookman Old Style"/>
          <w:sz w:val="28"/>
          <w:szCs w:val="28"/>
        </w:rPr>
        <w:t>en razón de</w:t>
      </w:r>
      <w:proofErr w:type="gramEnd"/>
      <w:r w:rsidR="00D70719" w:rsidRPr="00670186">
        <w:rPr>
          <w:rFonts w:ascii="Bookman Old Style" w:hAnsi="Bookman Old Style"/>
          <w:sz w:val="28"/>
          <w:szCs w:val="28"/>
        </w:rPr>
        <w:t xml:space="preserve"> la naturaleza objetiva de la causal invocada.</w:t>
      </w:r>
    </w:p>
    <w:p w:rsidR="00D70719" w:rsidRPr="00670186" w:rsidRDefault="00D70719" w:rsidP="00026560">
      <w:pPr>
        <w:spacing w:line="360" w:lineRule="auto"/>
        <w:ind w:firstLine="708"/>
        <w:jc w:val="both"/>
        <w:rPr>
          <w:rFonts w:ascii="Bookman Old Style" w:hAnsi="Bookman Old Style"/>
          <w:sz w:val="28"/>
          <w:szCs w:val="28"/>
        </w:rPr>
      </w:pPr>
    </w:p>
    <w:p w:rsidR="00B827A4" w:rsidRPr="00670186" w:rsidRDefault="00B827A4" w:rsidP="00026560">
      <w:pPr>
        <w:spacing w:line="360" w:lineRule="auto"/>
        <w:ind w:firstLine="708"/>
        <w:jc w:val="both"/>
        <w:rPr>
          <w:rFonts w:ascii="Bookman Old Style" w:hAnsi="Bookman Old Style"/>
          <w:sz w:val="28"/>
          <w:szCs w:val="28"/>
        </w:rPr>
      </w:pPr>
    </w:p>
    <w:p w:rsidR="001420D8" w:rsidRPr="00670186" w:rsidRDefault="00D70719" w:rsidP="006339D0">
      <w:pPr>
        <w:spacing w:line="360" w:lineRule="auto"/>
        <w:jc w:val="center"/>
        <w:rPr>
          <w:rFonts w:ascii="Bookman Old Style" w:hAnsi="Bookman Old Style"/>
          <w:b/>
          <w:spacing w:val="-3"/>
          <w:sz w:val="28"/>
          <w:szCs w:val="28"/>
        </w:rPr>
      </w:pPr>
      <w:r w:rsidRPr="00670186">
        <w:rPr>
          <w:rFonts w:ascii="Bookman Old Style" w:hAnsi="Bookman Old Style"/>
          <w:b/>
          <w:spacing w:val="-3"/>
          <w:sz w:val="28"/>
          <w:szCs w:val="28"/>
        </w:rPr>
        <w:t>CONSIDERACIONES</w:t>
      </w:r>
    </w:p>
    <w:p w:rsidR="00D70719" w:rsidRPr="00670186" w:rsidRDefault="00D70719" w:rsidP="00D70719">
      <w:pPr>
        <w:spacing w:line="360" w:lineRule="auto"/>
        <w:rPr>
          <w:rFonts w:ascii="Bookman Old Style" w:hAnsi="Bookman Old Style"/>
          <w:b/>
          <w:spacing w:val="-3"/>
          <w:sz w:val="28"/>
          <w:szCs w:val="28"/>
        </w:rPr>
      </w:pPr>
    </w:p>
    <w:p w:rsidR="00D70719" w:rsidRPr="00670186" w:rsidRDefault="00D70719" w:rsidP="006838E3">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t xml:space="preserve">De conformidad con el numeral 5° del artículo 235 de la Constitución Política, modificado por el artículo 3° del Acto Legislativo 01 de 2018, en concordancia con el </w:t>
      </w:r>
      <w:r w:rsidR="005F478D" w:rsidRPr="00670186">
        <w:rPr>
          <w:rFonts w:ascii="Bookman Old Style" w:hAnsi="Bookman Old Style"/>
          <w:spacing w:val="-3"/>
          <w:sz w:val="28"/>
          <w:szCs w:val="28"/>
        </w:rPr>
        <w:t xml:space="preserve">numeral 9° del artículo 32 </w:t>
      </w:r>
      <w:r w:rsidR="0055001E" w:rsidRPr="00670186">
        <w:rPr>
          <w:rFonts w:ascii="Bookman Old Style" w:hAnsi="Bookman Old Style"/>
          <w:spacing w:val="-3"/>
          <w:sz w:val="28"/>
          <w:szCs w:val="28"/>
        </w:rPr>
        <w:t xml:space="preserve">de la Ley 906 de 2004, la Sala Especial de Primera Instancia de la Corte Suprema de Justicia es competente para conocer del juzgamiento de </w:t>
      </w:r>
      <w:r w:rsidR="006838E3" w:rsidRPr="00670186">
        <w:rPr>
          <w:rFonts w:ascii="Bookman Old Style" w:hAnsi="Bookman Old Style"/>
          <w:spacing w:val="-3"/>
          <w:sz w:val="28"/>
          <w:szCs w:val="28"/>
        </w:rPr>
        <w:t>los gobernadores.</w:t>
      </w:r>
      <w:r w:rsidR="0055001E" w:rsidRPr="00670186">
        <w:rPr>
          <w:rFonts w:ascii="Bookman Old Style" w:hAnsi="Bookman Old Style"/>
          <w:spacing w:val="-3"/>
          <w:sz w:val="28"/>
          <w:szCs w:val="28"/>
        </w:rPr>
        <w:t xml:space="preserve">   </w:t>
      </w:r>
    </w:p>
    <w:p w:rsidR="001420D8" w:rsidRPr="00670186" w:rsidRDefault="002D1812" w:rsidP="006838E3">
      <w:pPr>
        <w:spacing w:line="360" w:lineRule="auto"/>
        <w:rPr>
          <w:rFonts w:ascii="Bookman Old Style" w:hAnsi="Bookman Old Style"/>
          <w:b/>
          <w:spacing w:val="-3"/>
          <w:sz w:val="28"/>
          <w:szCs w:val="28"/>
        </w:rPr>
      </w:pPr>
      <w:r w:rsidRPr="00670186">
        <w:rPr>
          <w:rFonts w:ascii="Bookman Old Style" w:hAnsi="Bookman Old Style"/>
          <w:b/>
          <w:spacing w:val="-3"/>
          <w:sz w:val="28"/>
          <w:szCs w:val="28"/>
        </w:rPr>
        <w:lastRenderedPageBreak/>
        <w:tab/>
      </w:r>
    </w:p>
    <w:p w:rsidR="005F0562" w:rsidRPr="00670186" w:rsidRDefault="005B4DEC" w:rsidP="0036497E">
      <w:pPr>
        <w:spacing w:line="360" w:lineRule="auto"/>
        <w:ind w:firstLine="360"/>
        <w:jc w:val="both"/>
        <w:rPr>
          <w:rFonts w:ascii="Bookman Old Style" w:hAnsi="Bookman Old Style"/>
          <w:b/>
          <w:i/>
          <w:spacing w:val="-3"/>
          <w:sz w:val="28"/>
          <w:szCs w:val="28"/>
          <w:u w:val="single"/>
        </w:rPr>
      </w:pPr>
      <w:r w:rsidRPr="00670186">
        <w:rPr>
          <w:rFonts w:ascii="Bookman Old Style" w:hAnsi="Bookman Old Style"/>
          <w:spacing w:val="-3"/>
          <w:sz w:val="28"/>
          <w:szCs w:val="28"/>
        </w:rPr>
        <w:t>Por su parte</w:t>
      </w:r>
      <w:r w:rsidR="002D1812" w:rsidRPr="00670186">
        <w:rPr>
          <w:rFonts w:ascii="Bookman Old Style" w:hAnsi="Bookman Old Style"/>
          <w:spacing w:val="-3"/>
          <w:sz w:val="28"/>
          <w:szCs w:val="28"/>
        </w:rPr>
        <w:t>, la Fiscalía aporta la resolución No 0-2496 de 9 de octubre de 2015, a través de la cual se</w:t>
      </w:r>
      <w:r w:rsidR="0036497E" w:rsidRPr="00670186">
        <w:rPr>
          <w:rFonts w:ascii="Bookman Old Style" w:hAnsi="Bookman Old Style"/>
          <w:spacing w:val="-3"/>
          <w:sz w:val="28"/>
          <w:szCs w:val="28"/>
        </w:rPr>
        <w:t xml:space="preserve"> </w:t>
      </w:r>
      <w:r w:rsidR="0035397E" w:rsidRPr="00670186">
        <w:rPr>
          <w:rFonts w:ascii="Bookman Old Style" w:hAnsi="Bookman Old Style"/>
          <w:spacing w:val="-3"/>
          <w:sz w:val="28"/>
          <w:szCs w:val="28"/>
        </w:rPr>
        <w:t xml:space="preserve">acredita la competencia de la Fiscalía </w:t>
      </w:r>
      <w:r w:rsidR="009F10D3" w:rsidRPr="00670186">
        <w:rPr>
          <w:rFonts w:ascii="Bookman Old Style" w:hAnsi="Bookman Old Style"/>
          <w:spacing w:val="-3"/>
          <w:sz w:val="28"/>
          <w:szCs w:val="28"/>
        </w:rPr>
        <w:t>O</w:t>
      </w:r>
      <w:r w:rsidR="00CB64B8" w:rsidRPr="00670186">
        <w:rPr>
          <w:rFonts w:ascii="Bookman Old Style" w:hAnsi="Bookman Old Style"/>
          <w:spacing w:val="-3"/>
          <w:sz w:val="28"/>
          <w:szCs w:val="28"/>
        </w:rPr>
        <w:t xml:space="preserve">nce Delegada </w:t>
      </w:r>
      <w:r w:rsidR="0035397E" w:rsidRPr="00670186">
        <w:rPr>
          <w:rFonts w:ascii="Bookman Old Style" w:hAnsi="Bookman Old Style"/>
          <w:spacing w:val="-3"/>
          <w:sz w:val="28"/>
          <w:szCs w:val="28"/>
        </w:rPr>
        <w:t>para proceder</w:t>
      </w:r>
      <w:r w:rsidR="00CB64B8" w:rsidRPr="00670186">
        <w:rPr>
          <w:rFonts w:ascii="Bookman Old Style" w:hAnsi="Bookman Old Style"/>
          <w:spacing w:val="-3"/>
          <w:sz w:val="28"/>
          <w:szCs w:val="28"/>
        </w:rPr>
        <w:t>.</w:t>
      </w:r>
      <w:r w:rsidR="0035397E" w:rsidRPr="00670186">
        <w:rPr>
          <w:rFonts w:ascii="Bookman Old Style" w:hAnsi="Bookman Old Style"/>
          <w:spacing w:val="-3"/>
          <w:sz w:val="28"/>
          <w:szCs w:val="28"/>
        </w:rPr>
        <w:t xml:space="preserve"> </w:t>
      </w:r>
    </w:p>
    <w:p w:rsidR="002D1812" w:rsidRPr="00670186" w:rsidRDefault="002D1812" w:rsidP="002D1812">
      <w:pPr>
        <w:spacing w:line="360" w:lineRule="auto"/>
        <w:ind w:firstLine="360"/>
        <w:jc w:val="both"/>
        <w:rPr>
          <w:rFonts w:ascii="Bookman Old Style" w:hAnsi="Bookman Old Style"/>
          <w:spacing w:val="-3"/>
          <w:sz w:val="28"/>
          <w:szCs w:val="28"/>
        </w:rPr>
      </w:pPr>
      <w:r w:rsidRPr="00670186">
        <w:rPr>
          <w:rFonts w:ascii="Bookman Old Style" w:hAnsi="Bookman Old Style"/>
          <w:spacing w:val="-3"/>
          <w:sz w:val="28"/>
          <w:szCs w:val="28"/>
        </w:rPr>
        <w:t xml:space="preserve">  </w:t>
      </w:r>
    </w:p>
    <w:p w:rsidR="003735E0" w:rsidRPr="00670186" w:rsidRDefault="005E4F64" w:rsidP="003F4C1E">
      <w:pPr>
        <w:spacing w:line="360" w:lineRule="auto"/>
        <w:ind w:firstLine="360"/>
        <w:jc w:val="both"/>
        <w:rPr>
          <w:rFonts w:ascii="Bookman Old Style" w:hAnsi="Bookman Old Style"/>
          <w:spacing w:val="-3"/>
          <w:sz w:val="28"/>
          <w:szCs w:val="28"/>
        </w:rPr>
      </w:pPr>
      <w:r w:rsidRPr="00670186">
        <w:rPr>
          <w:rFonts w:ascii="Bookman Old Style" w:hAnsi="Bookman Old Style"/>
          <w:spacing w:val="-3"/>
          <w:sz w:val="28"/>
          <w:szCs w:val="28"/>
        </w:rPr>
        <w:t>Por mandato del artículo 250 de la Constitución Política, la Fiscalía General de la Nación está obligada a adelantar el ejercicio de la acción penal y realizar la investigación de los hechos que revistan las características de un delito</w:t>
      </w:r>
      <w:r w:rsidR="003A305F" w:rsidRPr="00670186">
        <w:rPr>
          <w:rFonts w:ascii="Bookman Old Style" w:hAnsi="Bookman Old Style"/>
          <w:spacing w:val="-3"/>
          <w:sz w:val="28"/>
          <w:szCs w:val="28"/>
        </w:rPr>
        <w:t>,</w:t>
      </w:r>
      <w:r w:rsidRPr="00670186">
        <w:rPr>
          <w:rFonts w:ascii="Bookman Old Style" w:hAnsi="Bookman Old Style"/>
          <w:spacing w:val="-3"/>
          <w:sz w:val="28"/>
          <w:szCs w:val="28"/>
        </w:rPr>
        <w:t xml:space="preserve"> cuando medien suficientes motivos y circunstancias fácticas que indiquen la posible existencia del mismo</w:t>
      </w:r>
      <w:r w:rsidR="003A305F" w:rsidRPr="00670186">
        <w:rPr>
          <w:rFonts w:ascii="Bookman Old Style" w:hAnsi="Bookman Old Style"/>
          <w:spacing w:val="-3"/>
          <w:sz w:val="28"/>
          <w:szCs w:val="28"/>
        </w:rPr>
        <w:t xml:space="preserve">, siéndole vedado </w:t>
      </w:r>
      <w:r w:rsidRPr="00670186">
        <w:rPr>
          <w:rFonts w:ascii="Bookman Old Style" w:hAnsi="Bookman Old Style"/>
          <w:spacing w:val="-3"/>
          <w:sz w:val="28"/>
          <w:szCs w:val="28"/>
        </w:rPr>
        <w:t xml:space="preserve">suspender, interrumpir, </w:t>
      </w:r>
      <w:r w:rsidR="00843721" w:rsidRPr="00670186">
        <w:rPr>
          <w:rFonts w:ascii="Bookman Old Style" w:hAnsi="Bookman Old Style"/>
          <w:spacing w:val="-3"/>
          <w:sz w:val="28"/>
          <w:szCs w:val="28"/>
        </w:rPr>
        <w:t>o</w:t>
      </w:r>
      <w:r w:rsidRPr="00670186">
        <w:rPr>
          <w:rFonts w:ascii="Bookman Old Style" w:hAnsi="Bookman Old Style"/>
          <w:spacing w:val="-3"/>
          <w:sz w:val="28"/>
          <w:szCs w:val="28"/>
        </w:rPr>
        <w:t xml:space="preserve"> renunciar a la persecución penal, salvo en los casos que establezca la ley para la aplicación del principio de oportunidad</w:t>
      </w:r>
      <w:r w:rsidR="003735E0" w:rsidRPr="00670186">
        <w:rPr>
          <w:rFonts w:ascii="Bookman Old Style" w:hAnsi="Bookman Old Style"/>
          <w:spacing w:val="-3"/>
          <w:sz w:val="28"/>
          <w:szCs w:val="28"/>
        </w:rPr>
        <w:t>. Así mismo, solicitará ante el juez de conocimiento</w:t>
      </w:r>
      <w:r w:rsidR="00A01001" w:rsidRPr="00670186">
        <w:rPr>
          <w:rStyle w:val="Refdenotaalpie"/>
          <w:rFonts w:ascii="Bookman Old Style" w:hAnsi="Bookman Old Style"/>
          <w:spacing w:val="-3"/>
          <w:sz w:val="28"/>
          <w:szCs w:val="28"/>
        </w:rPr>
        <w:footnoteReference w:id="1"/>
      </w:r>
      <w:r w:rsidR="003735E0" w:rsidRPr="00670186">
        <w:rPr>
          <w:rFonts w:ascii="Bookman Old Style" w:hAnsi="Bookman Old Style"/>
          <w:spacing w:val="-3"/>
          <w:sz w:val="28"/>
          <w:szCs w:val="28"/>
        </w:rPr>
        <w:t xml:space="preserve"> la preclusión de las investigaciones, siempre que, conforme lo dispuesto por la ley, no hubiere mérito para acusar.</w:t>
      </w:r>
    </w:p>
    <w:p w:rsidR="003735E0" w:rsidRPr="00670186" w:rsidRDefault="003735E0" w:rsidP="005E4F64">
      <w:pPr>
        <w:spacing w:line="360" w:lineRule="auto"/>
        <w:ind w:left="360" w:firstLine="348"/>
        <w:jc w:val="both"/>
        <w:rPr>
          <w:rFonts w:ascii="Bookman Old Style" w:hAnsi="Bookman Old Style"/>
          <w:spacing w:val="-3"/>
          <w:sz w:val="28"/>
          <w:szCs w:val="28"/>
        </w:rPr>
      </w:pPr>
    </w:p>
    <w:p w:rsidR="00BA43C5" w:rsidRPr="00670186" w:rsidRDefault="003735E0" w:rsidP="003F4C1E">
      <w:pPr>
        <w:spacing w:line="360" w:lineRule="auto"/>
        <w:ind w:firstLine="360"/>
        <w:jc w:val="both"/>
        <w:rPr>
          <w:rFonts w:ascii="Bookman Old Style" w:hAnsi="Bookman Old Style"/>
          <w:spacing w:val="-3"/>
          <w:sz w:val="28"/>
          <w:szCs w:val="28"/>
        </w:rPr>
      </w:pPr>
      <w:r w:rsidRPr="00670186">
        <w:rPr>
          <w:rFonts w:ascii="Bookman Old Style" w:hAnsi="Bookman Old Style"/>
          <w:spacing w:val="-3"/>
          <w:sz w:val="28"/>
          <w:szCs w:val="28"/>
        </w:rPr>
        <w:t xml:space="preserve">A su turno, </w:t>
      </w:r>
      <w:r w:rsidR="00BD4875" w:rsidRPr="00670186">
        <w:rPr>
          <w:rFonts w:ascii="Bookman Old Style" w:hAnsi="Bookman Old Style"/>
          <w:spacing w:val="-3"/>
          <w:sz w:val="28"/>
          <w:szCs w:val="28"/>
        </w:rPr>
        <w:t xml:space="preserve">del análisis de </w:t>
      </w:r>
      <w:r w:rsidRPr="00670186">
        <w:rPr>
          <w:rFonts w:ascii="Bookman Old Style" w:hAnsi="Bookman Old Style"/>
          <w:spacing w:val="-3"/>
          <w:sz w:val="28"/>
          <w:szCs w:val="28"/>
        </w:rPr>
        <w:t>los artículos 331 y 332 de la Ley 906 de 2004,</w:t>
      </w:r>
      <w:r w:rsidR="00BD4875" w:rsidRPr="00670186">
        <w:rPr>
          <w:rFonts w:ascii="Bookman Old Style" w:hAnsi="Bookman Old Style"/>
          <w:spacing w:val="-3"/>
          <w:sz w:val="28"/>
          <w:szCs w:val="28"/>
        </w:rPr>
        <w:t xml:space="preserve"> se evidencia que son dos los momentos para </w:t>
      </w:r>
      <w:r w:rsidR="00E35A1C" w:rsidRPr="00670186">
        <w:rPr>
          <w:rFonts w:ascii="Bookman Old Style" w:hAnsi="Bookman Old Style"/>
          <w:spacing w:val="-3"/>
          <w:sz w:val="28"/>
          <w:szCs w:val="28"/>
        </w:rPr>
        <w:t xml:space="preserve">elevar </w:t>
      </w:r>
      <w:r w:rsidR="00BD4875" w:rsidRPr="00670186">
        <w:rPr>
          <w:rFonts w:ascii="Bookman Old Style" w:hAnsi="Bookman Old Style"/>
          <w:spacing w:val="-3"/>
          <w:sz w:val="28"/>
          <w:szCs w:val="28"/>
        </w:rPr>
        <w:t xml:space="preserve">la solicitud de preclusión. </w:t>
      </w:r>
      <w:r w:rsidR="009D595F" w:rsidRPr="00670186">
        <w:rPr>
          <w:rFonts w:ascii="Bookman Old Style" w:hAnsi="Bookman Old Style"/>
          <w:spacing w:val="-3"/>
          <w:sz w:val="28"/>
          <w:szCs w:val="28"/>
        </w:rPr>
        <w:t xml:space="preserve">En primer lugar, en la fase de indagación e investigación, exclusivamente el delegado del ente requirente ostenta la facultad para demandar del juez de conocimiento la preclusión de la investigación, bajo el amparo de cualquiera de las causales regladas </w:t>
      </w:r>
      <w:r w:rsidR="00CB64B8" w:rsidRPr="00670186">
        <w:rPr>
          <w:rFonts w:ascii="Bookman Old Style" w:hAnsi="Bookman Old Style"/>
          <w:spacing w:val="-3"/>
          <w:sz w:val="28"/>
          <w:szCs w:val="28"/>
        </w:rPr>
        <w:t>por</w:t>
      </w:r>
      <w:r w:rsidR="009D595F" w:rsidRPr="00670186">
        <w:rPr>
          <w:rFonts w:ascii="Bookman Old Style" w:hAnsi="Bookman Old Style"/>
          <w:spacing w:val="-3"/>
          <w:sz w:val="28"/>
          <w:szCs w:val="28"/>
        </w:rPr>
        <w:t xml:space="preserve"> la norma en cita. El otro momento tiene ocurrencia en la fase de juzgamiento, por iniciativa de la Fiscalía, el Ministerio Público o la defensa, restringiéndose tal posibilidad a las causales descritas en los numerales 1° y 3° del citado artículo 332, siempre que estemos </w:t>
      </w:r>
      <w:r w:rsidR="00BA43C5" w:rsidRPr="00670186">
        <w:rPr>
          <w:rFonts w:ascii="Bookman Old Style" w:hAnsi="Bookman Old Style"/>
          <w:spacing w:val="-3"/>
          <w:sz w:val="28"/>
          <w:szCs w:val="28"/>
        </w:rPr>
        <w:t>frente a situaciones sobrevinientes.</w:t>
      </w:r>
    </w:p>
    <w:p w:rsidR="00BA43C5" w:rsidRPr="00670186" w:rsidRDefault="00BA43C5" w:rsidP="005E4F64">
      <w:pPr>
        <w:spacing w:line="360" w:lineRule="auto"/>
        <w:ind w:left="360" w:firstLine="348"/>
        <w:jc w:val="both"/>
        <w:rPr>
          <w:rFonts w:ascii="Bookman Old Style" w:hAnsi="Bookman Old Style"/>
          <w:spacing w:val="-3"/>
          <w:sz w:val="28"/>
          <w:szCs w:val="28"/>
        </w:rPr>
      </w:pPr>
    </w:p>
    <w:p w:rsidR="003735E0" w:rsidRPr="00670186" w:rsidRDefault="00BA43C5" w:rsidP="003F4C1E">
      <w:pPr>
        <w:spacing w:line="360" w:lineRule="auto"/>
        <w:ind w:firstLine="360"/>
        <w:jc w:val="both"/>
        <w:rPr>
          <w:rFonts w:ascii="Bookman Old Style" w:hAnsi="Bookman Old Style"/>
          <w:spacing w:val="-3"/>
          <w:sz w:val="28"/>
          <w:szCs w:val="28"/>
        </w:rPr>
      </w:pPr>
      <w:r w:rsidRPr="00670186">
        <w:rPr>
          <w:rFonts w:ascii="Bookman Old Style" w:hAnsi="Bookman Old Style"/>
          <w:spacing w:val="-3"/>
          <w:sz w:val="28"/>
          <w:szCs w:val="28"/>
        </w:rPr>
        <w:t xml:space="preserve">Resulta preciso advertir que la redacción original del artículo 331 de la codificación procedimental, exigía que se hubiese formulado la imputación, como presupuesto del pedido preclusivo, situación </w:t>
      </w:r>
      <w:proofErr w:type="gramStart"/>
      <w:r w:rsidRPr="00670186">
        <w:rPr>
          <w:rFonts w:ascii="Bookman Old Style" w:hAnsi="Bookman Old Style"/>
          <w:spacing w:val="-3"/>
          <w:sz w:val="28"/>
          <w:szCs w:val="28"/>
        </w:rPr>
        <w:t>que</w:t>
      </w:r>
      <w:proofErr w:type="gramEnd"/>
      <w:r w:rsidRPr="00670186">
        <w:rPr>
          <w:rFonts w:ascii="Bookman Old Style" w:hAnsi="Bookman Old Style"/>
          <w:spacing w:val="-3"/>
          <w:sz w:val="28"/>
          <w:szCs w:val="28"/>
        </w:rPr>
        <w:t xml:space="preserve"> al ser examinada por la Corte Constitucional</w:t>
      </w:r>
      <w:r w:rsidR="002D1812" w:rsidRPr="00670186">
        <w:rPr>
          <w:rFonts w:ascii="Bookman Old Style" w:hAnsi="Bookman Old Style"/>
          <w:spacing w:val="-3"/>
          <w:sz w:val="28"/>
          <w:szCs w:val="28"/>
        </w:rPr>
        <w:t>, en sentencia C-591 de 2005 ya citada</w:t>
      </w:r>
      <w:r w:rsidR="00A01001" w:rsidRPr="00670186">
        <w:rPr>
          <w:rStyle w:val="Refdenotaalpie"/>
          <w:rFonts w:ascii="Bookman Old Style" w:hAnsi="Bookman Old Style"/>
          <w:spacing w:val="-3"/>
          <w:sz w:val="28"/>
          <w:szCs w:val="28"/>
        </w:rPr>
        <w:footnoteReference w:id="2"/>
      </w:r>
      <w:r w:rsidRPr="00670186">
        <w:rPr>
          <w:rFonts w:ascii="Bookman Old Style" w:hAnsi="Bookman Old Style"/>
          <w:spacing w:val="-3"/>
          <w:sz w:val="28"/>
          <w:szCs w:val="28"/>
        </w:rPr>
        <w:t xml:space="preserve">, llevó a la declaratoria de </w:t>
      </w:r>
      <w:proofErr w:type="spellStart"/>
      <w:r w:rsidRPr="00670186">
        <w:rPr>
          <w:rFonts w:ascii="Bookman Old Style" w:hAnsi="Bookman Old Style"/>
          <w:spacing w:val="-3"/>
          <w:sz w:val="28"/>
          <w:szCs w:val="28"/>
        </w:rPr>
        <w:t>inexequibilidad</w:t>
      </w:r>
      <w:proofErr w:type="spellEnd"/>
      <w:r w:rsidRPr="00670186">
        <w:rPr>
          <w:rFonts w:ascii="Bookman Old Style" w:hAnsi="Bookman Old Style"/>
          <w:spacing w:val="-3"/>
          <w:sz w:val="28"/>
          <w:szCs w:val="28"/>
        </w:rPr>
        <w:t xml:space="preserve"> parcial</w:t>
      </w:r>
      <w:r w:rsidR="00A01001" w:rsidRPr="00670186">
        <w:rPr>
          <w:rFonts w:ascii="Bookman Old Style" w:hAnsi="Bookman Old Style"/>
          <w:spacing w:val="-3"/>
          <w:sz w:val="28"/>
          <w:szCs w:val="28"/>
        </w:rPr>
        <w:t xml:space="preserve"> de dicho canon</w:t>
      </w:r>
      <w:r w:rsidRPr="00670186">
        <w:rPr>
          <w:rFonts w:ascii="Bookman Old Style" w:hAnsi="Bookman Old Style"/>
          <w:spacing w:val="-3"/>
          <w:sz w:val="28"/>
          <w:szCs w:val="28"/>
        </w:rPr>
        <w:t xml:space="preserve">, permitiendo que tal solicitud se extienda a la fase de indagación. </w:t>
      </w:r>
    </w:p>
    <w:p w:rsidR="00A01001" w:rsidRPr="00670186" w:rsidRDefault="00A01001" w:rsidP="005E4F64">
      <w:pPr>
        <w:spacing w:line="360" w:lineRule="auto"/>
        <w:ind w:left="360" w:firstLine="348"/>
        <w:jc w:val="both"/>
        <w:rPr>
          <w:rFonts w:ascii="Bookman Old Style" w:hAnsi="Bookman Old Style"/>
          <w:spacing w:val="-3"/>
          <w:sz w:val="28"/>
          <w:szCs w:val="28"/>
        </w:rPr>
      </w:pPr>
    </w:p>
    <w:p w:rsidR="004F00E5" w:rsidRPr="00670186" w:rsidRDefault="004F00E5" w:rsidP="003F4C1E">
      <w:pPr>
        <w:spacing w:line="360" w:lineRule="auto"/>
        <w:ind w:firstLine="360"/>
        <w:jc w:val="both"/>
        <w:rPr>
          <w:rFonts w:ascii="Bookman Old Style" w:hAnsi="Bookman Old Style"/>
          <w:spacing w:val="-3"/>
          <w:sz w:val="28"/>
          <w:szCs w:val="28"/>
        </w:rPr>
      </w:pPr>
      <w:r w:rsidRPr="00670186">
        <w:rPr>
          <w:rFonts w:ascii="Bookman Old Style" w:hAnsi="Bookman Old Style"/>
          <w:spacing w:val="-3"/>
          <w:sz w:val="28"/>
          <w:szCs w:val="28"/>
        </w:rPr>
        <w:t>El artículo 332 del Código de Procedimiento Penal</w:t>
      </w:r>
      <w:r w:rsidR="005B4DEC" w:rsidRPr="00670186">
        <w:rPr>
          <w:rFonts w:ascii="Bookman Old Style" w:hAnsi="Bookman Old Style"/>
          <w:spacing w:val="-3"/>
          <w:sz w:val="28"/>
          <w:szCs w:val="28"/>
        </w:rPr>
        <w:t>,</w:t>
      </w:r>
      <w:r w:rsidRPr="00670186">
        <w:rPr>
          <w:rFonts w:ascii="Bookman Old Style" w:hAnsi="Bookman Old Style"/>
          <w:spacing w:val="-3"/>
          <w:sz w:val="28"/>
          <w:szCs w:val="28"/>
        </w:rPr>
        <w:t xml:space="preserve"> consagra las causales que deben acreditarse para decretar la preclusión de </w:t>
      </w:r>
      <w:r w:rsidR="005B4DEC" w:rsidRPr="00670186">
        <w:rPr>
          <w:rFonts w:ascii="Bookman Old Style" w:hAnsi="Bookman Old Style"/>
          <w:spacing w:val="-3"/>
          <w:sz w:val="28"/>
          <w:szCs w:val="28"/>
        </w:rPr>
        <w:t xml:space="preserve">la </w:t>
      </w:r>
      <w:r w:rsidRPr="00670186">
        <w:rPr>
          <w:rFonts w:ascii="Bookman Old Style" w:hAnsi="Bookman Old Style"/>
          <w:spacing w:val="-3"/>
          <w:sz w:val="28"/>
          <w:szCs w:val="28"/>
        </w:rPr>
        <w:t xml:space="preserve">investigación: </w:t>
      </w:r>
    </w:p>
    <w:p w:rsidR="004F00E5" w:rsidRPr="00670186" w:rsidRDefault="004F00E5" w:rsidP="00843721">
      <w:pPr>
        <w:spacing w:line="360" w:lineRule="auto"/>
        <w:ind w:left="360" w:firstLine="348"/>
        <w:jc w:val="both"/>
        <w:rPr>
          <w:rFonts w:ascii="Bookman Old Style" w:hAnsi="Bookman Old Style"/>
          <w:spacing w:val="-3"/>
          <w:sz w:val="28"/>
          <w:szCs w:val="28"/>
        </w:rPr>
      </w:pPr>
    </w:p>
    <w:p w:rsidR="0078791C" w:rsidRPr="00670186" w:rsidRDefault="0078791C" w:rsidP="0078791C">
      <w:pPr>
        <w:ind w:left="1056"/>
        <w:jc w:val="both"/>
        <w:rPr>
          <w:rFonts w:ascii="Bookman Old Style" w:hAnsi="Bookman Old Style"/>
          <w:i/>
          <w:spacing w:val="-3"/>
          <w:sz w:val="24"/>
          <w:szCs w:val="24"/>
        </w:rPr>
      </w:pPr>
      <w:r w:rsidRPr="00670186">
        <w:rPr>
          <w:rFonts w:ascii="Bookman Old Style" w:hAnsi="Bookman Old Style"/>
          <w:i/>
          <w:spacing w:val="-3"/>
          <w:sz w:val="24"/>
          <w:szCs w:val="24"/>
        </w:rPr>
        <w:t>“1. Imposibilidad de iniciar o continuar el ejercicio de la acción penal.</w:t>
      </w:r>
    </w:p>
    <w:p w:rsidR="0078791C" w:rsidRPr="00670186" w:rsidRDefault="0078791C" w:rsidP="0078791C">
      <w:pPr>
        <w:ind w:left="708" w:firstLine="348"/>
        <w:jc w:val="both"/>
        <w:rPr>
          <w:rFonts w:ascii="Bookman Old Style" w:hAnsi="Bookman Old Style"/>
          <w:i/>
          <w:spacing w:val="-3"/>
          <w:sz w:val="24"/>
          <w:szCs w:val="24"/>
        </w:rPr>
      </w:pPr>
    </w:p>
    <w:p w:rsidR="0078791C" w:rsidRPr="00670186" w:rsidRDefault="0078791C" w:rsidP="0078791C">
      <w:pPr>
        <w:ind w:left="1056"/>
        <w:jc w:val="both"/>
        <w:rPr>
          <w:rFonts w:ascii="Bookman Old Style" w:hAnsi="Bookman Old Style"/>
          <w:i/>
          <w:spacing w:val="-3"/>
          <w:sz w:val="24"/>
          <w:szCs w:val="24"/>
        </w:rPr>
      </w:pPr>
      <w:r w:rsidRPr="00670186">
        <w:rPr>
          <w:rFonts w:ascii="Bookman Old Style" w:hAnsi="Bookman Old Style"/>
          <w:i/>
          <w:spacing w:val="-3"/>
          <w:sz w:val="24"/>
          <w:szCs w:val="24"/>
        </w:rPr>
        <w:t>2. Existencia de una causal que excluya la responsabilidad, de acuerdo con el Código Penal.</w:t>
      </w:r>
    </w:p>
    <w:p w:rsidR="0078791C" w:rsidRPr="00670186" w:rsidRDefault="0078791C" w:rsidP="0078791C">
      <w:pPr>
        <w:ind w:left="708" w:firstLine="348"/>
        <w:jc w:val="both"/>
        <w:rPr>
          <w:rFonts w:ascii="Bookman Old Style" w:hAnsi="Bookman Old Style"/>
          <w:i/>
          <w:spacing w:val="-3"/>
          <w:sz w:val="24"/>
          <w:szCs w:val="24"/>
        </w:rPr>
      </w:pPr>
    </w:p>
    <w:p w:rsidR="0078791C" w:rsidRPr="00670186" w:rsidRDefault="0078791C" w:rsidP="0078791C">
      <w:pPr>
        <w:ind w:left="708" w:firstLine="348"/>
        <w:jc w:val="both"/>
        <w:rPr>
          <w:rFonts w:ascii="Bookman Old Style" w:hAnsi="Bookman Old Style"/>
          <w:i/>
          <w:spacing w:val="-3"/>
          <w:sz w:val="24"/>
          <w:szCs w:val="24"/>
        </w:rPr>
      </w:pPr>
      <w:r w:rsidRPr="00670186">
        <w:rPr>
          <w:rFonts w:ascii="Bookman Old Style" w:hAnsi="Bookman Old Style"/>
          <w:i/>
          <w:spacing w:val="-3"/>
          <w:sz w:val="24"/>
          <w:szCs w:val="24"/>
        </w:rPr>
        <w:t>3. Inexistencia del hecho investigado.</w:t>
      </w:r>
    </w:p>
    <w:p w:rsidR="0078791C" w:rsidRPr="00670186" w:rsidRDefault="0078791C" w:rsidP="0078791C">
      <w:pPr>
        <w:ind w:left="708" w:firstLine="348"/>
        <w:jc w:val="both"/>
        <w:rPr>
          <w:rFonts w:ascii="Bookman Old Style" w:hAnsi="Bookman Old Style"/>
          <w:i/>
          <w:spacing w:val="-3"/>
          <w:sz w:val="24"/>
          <w:szCs w:val="24"/>
        </w:rPr>
      </w:pPr>
    </w:p>
    <w:p w:rsidR="0078791C" w:rsidRPr="00670186" w:rsidRDefault="0078791C" w:rsidP="0078791C">
      <w:pPr>
        <w:ind w:left="708" w:firstLine="348"/>
        <w:jc w:val="both"/>
        <w:rPr>
          <w:rFonts w:ascii="Bookman Old Style" w:hAnsi="Bookman Old Style"/>
          <w:i/>
          <w:spacing w:val="-3"/>
          <w:sz w:val="24"/>
          <w:szCs w:val="24"/>
        </w:rPr>
      </w:pPr>
      <w:r w:rsidRPr="00670186">
        <w:rPr>
          <w:rFonts w:ascii="Bookman Old Style" w:hAnsi="Bookman Old Style"/>
          <w:i/>
          <w:spacing w:val="-3"/>
          <w:sz w:val="24"/>
          <w:szCs w:val="24"/>
        </w:rPr>
        <w:t>4. Atipicidad del hecho investigado.</w:t>
      </w:r>
    </w:p>
    <w:p w:rsidR="0078791C" w:rsidRPr="00670186" w:rsidRDefault="0078791C" w:rsidP="0078791C">
      <w:pPr>
        <w:ind w:left="708" w:firstLine="348"/>
        <w:jc w:val="both"/>
        <w:rPr>
          <w:rFonts w:ascii="Bookman Old Style" w:hAnsi="Bookman Old Style"/>
          <w:i/>
          <w:spacing w:val="-3"/>
          <w:sz w:val="24"/>
          <w:szCs w:val="24"/>
        </w:rPr>
      </w:pPr>
    </w:p>
    <w:p w:rsidR="0078791C" w:rsidRPr="00670186" w:rsidRDefault="0078791C" w:rsidP="0078791C">
      <w:pPr>
        <w:ind w:left="708" w:firstLine="348"/>
        <w:jc w:val="both"/>
        <w:rPr>
          <w:rFonts w:ascii="Bookman Old Style" w:hAnsi="Bookman Old Style"/>
          <w:i/>
          <w:spacing w:val="-3"/>
          <w:sz w:val="24"/>
          <w:szCs w:val="24"/>
        </w:rPr>
      </w:pPr>
      <w:r w:rsidRPr="00670186">
        <w:rPr>
          <w:rFonts w:ascii="Bookman Old Style" w:hAnsi="Bookman Old Style"/>
          <w:i/>
          <w:spacing w:val="-3"/>
          <w:sz w:val="24"/>
          <w:szCs w:val="24"/>
        </w:rPr>
        <w:t>5. Ausencia de intervención del imputado en el hecho investigado.</w:t>
      </w:r>
    </w:p>
    <w:p w:rsidR="0078791C" w:rsidRPr="00670186" w:rsidRDefault="0078791C" w:rsidP="0078791C">
      <w:pPr>
        <w:ind w:left="708" w:firstLine="348"/>
        <w:jc w:val="both"/>
        <w:rPr>
          <w:rFonts w:ascii="Bookman Old Style" w:hAnsi="Bookman Old Style"/>
          <w:i/>
          <w:spacing w:val="-3"/>
          <w:sz w:val="24"/>
          <w:szCs w:val="24"/>
        </w:rPr>
      </w:pPr>
    </w:p>
    <w:p w:rsidR="0078791C" w:rsidRPr="00670186" w:rsidRDefault="0078791C" w:rsidP="0078791C">
      <w:pPr>
        <w:ind w:left="708" w:firstLine="348"/>
        <w:jc w:val="both"/>
        <w:rPr>
          <w:rFonts w:ascii="Bookman Old Style" w:hAnsi="Bookman Old Style"/>
          <w:i/>
          <w:spacing w:val="-3"/>
          <w:sz w:val="24"/>
          <w:szCs w:val="24"/>
        </w:rPr>
      </w:pPr>
      <w:r w:rsidRPr="00670186">
        <w:rPr>
          <w:rFonts w:ascii="Bookman Old Style" w:hAnsi="Bookman Old Style"/>
          <w:i/>
          <w:spacing w:val="-3"/>
          <w:sz w:val="24"/>
          <w:szCs w:val="24"/>
        </w:rPr>
        <w:t>6. Imposibilidad de desvirtuar la presunción de inocencia.</w:t>
      </w:r>
    </w:p>
    <w:p w:rsidR="0078791C" w:rsidRPr="00670186" w:rsidRDefault="0078791C" w:rsidP="0078791C">
      <w:pPr>
        <w:ind w:left="708" w:firstLine="348"/>
        <w:jc w:val="both"/>
        <w:rPr>
          <w:rFonts w:ascii="Bookman Old Style" w:hAnsi="Bookman Old Style"/>
          <w:i/>
          <w:spacing w:val="-3"/>
          <w:sz w:val="24"/>
          <w:szCs w:val="24"/>
        </w:rPr>
      </w:pPr>
    </w:p>
    <w:p w:rsidR="0078791C" w:rsidRPr="00670186" w:rsidRDefault="0078791C" w:rsidP="0078791C">
      <w:pPr>
        <w:ind w:left="1056"/>
        <w:jc w:val="both"/>
        <w:rPr>
          <w:rFonts w:ascii="Bookman Old Style" w:hAnsi="Bookman Old Style"/>
          <w:i/>
          <w:spacing w:val="-3"/>
          <w:sz w:val="24"/>
          <w:szCs w:val="24"/>
        </w:rPr>
      </w:pPr>
      <w:r w:rsidRPr="00670186">
        <w:rPr>
          <w:rFonts w:ascii="Bookman Old Style" w:hAnsi="Bookman Old Style"/>
          <w:i/>
          <w:spacing w:val="-3"/>
          <w:sz w:val="24"/>
          <w:szCs w:val="24"/>
        </w:rPr>
        <w:t>7. Vencimiento del término máximo previsto en el inciso segundo del artículo 294 de este código.</w:t>
      </w:r>
    </w:p>
    <w:p w:rsidR="0078791C" w:rsidRPr="00670186" w:rsidRDefault="0078791C" w:rsidP="0078791C">
      <w:pPr>
        <w:ind w:left="708" w:firstLine="348"/>
        <w:jc w:val="both"/>
        <w:rPr>
          <w:rFonts w:ascii="Bookman Old Style" w:hAnsi="Bookman Old Style"/>
          <w:i/>
          <w:spacing w:val="-3"/>
          <w:sz w:val="24"/>
          <w:szCs w:val="24"/>
        </w:rPr>
      </w:pPr>
    </w:p>
    <w:p w:rsidR="001B70AF" w:rsidRPr="00670186" w:rsidRDefault="0078791C" w:rsidP="0078791C">
      <w:pPr>
        <w:ind w:left="1056"/>
        <w:jc w:val="both"/>
        <w:rPr>
          <w:rFonts w:ascii="Bookman Old Style" w:hAnsi="Bookman Old Style"/>
          <w:i/>
          <w:spacing w:val="-3"/>
          <w:sz w:val="24"/>
          <w:szCs w:val="24"/>
        </w:rPr>
      </w:pPr>
      <w:r w:rsidRPr="00670186">
        <w:rPr>
          <w:rFonts w:ascii="Bookman Old Style" w:hAnsi="Bookman Old Style"/>
          <w:i/>
          <w:spacing w:val="-3"/>
          <w:sz w:val="24"/>
          <w:szCs w:val="24"/>
        </w:rPr>
        <w:t>PARÁGRAFO. Durante el juzgamiento, de sobrevenir las causales contempladas en los numerales 1 y 3, el fiscal, el Ministerio Público o la defensa, podrán solicitar al juez de conocimiento la preclusión”</w:t>
      </w:r>
    </w:p>
    <w:p w:rsidR="0078791C" w:rsidRPr="00670186" w:rsidRDefault="0078791C" w:rsidP="0078791C">
      <w:pPr>
        <w:jc w:val="both"/>
        <w:rPr>
          <w:rFonts w:ascii="Bookman Old Style" w:hAnsi="Bookman Old Style"/>
          <w:spacing w:val="-3"/>
          <w:sz w:val="24"/>
          <w:szCs w:val="24"/>
        </w:rPr>
      </w:pPr>
    </w:p>
    <w:p w:rsidR="003F4C1E" w:rsidRPr="00670186" w:rsidRDefault="003F4C1E" w:rsidP="003F4C1E">
      <w:pPr>
        <w:spacing w:line="360" w:lineRule="auto"/>
        <w:ind w:firstLine="708"/>
        <w:rPr>
          <w:rFonts w:ascii="Bookman Old Style" w:hAnsi="Bookman Old Style"/>
          <w:spacing w:val="-3"/>
          <w:sz w:val="28"/>
          <w:szCs w:val="28"/>
        </w:rPr>
      </w:pPr>
    </w:p>
    <w:p w:rsidR="005A2C92" w:rsidRPr="00670186" w:rsidRDefault="00364D06" w:rsidP="00574671">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t>Pues bien, a</w:t>
      </w:r>
      <w:r w:rsidR="00574671" w:rsidRPr="00670186">
        <w:rPr>
          <w:rFonts w:ascii="Bookman Old Style" w:hAnsi="Bookman Old Style"/>
          <w:spacing w:val="-3"/>
          <w:sz w:val="28"/>
          <w:szCs w:val="28"/>
        </w:rPr>
        <w:t xml:space="preserve">creditada como está la muerte del sujeto pasivo de la acción penal, causal eminentemente objetiva, </w:t>
      </w:r>
      <w:r w:rsidR="00AD4894" w:rsidRPr="00670186">
        <w:rPr>
          <w:rFonts w:ascii="Bookman Old Style" w:hAnsi="Bookman Old Style"/>
          <w:spacing w:val="-3"/>
          <w:sz w:val="28"/>
          <w:szCs w:val="28"/>
        </w:rPr>
        <w:t>consagrada en el numeral primero del artículo 82 del Código Penal,</w:t>
      </w:r>
      <w:r w:rsidR="00574671" w:rsidRPr="00670186">
        <w:rPr>
          <w:rFonts w:ascii="Bookman Old Style" w:hAnsi="Bookman Old Style"/>
          <w:spacing w:val="-3"/>
          <w:sz w:val="28"/>
          <w:szCs w:val="28"/>
        </w:rPr>
        <w:t xml:space="preserve"> </w:t>
      </w:r>
      <w:r w:rsidR="00AD4894" w:rsidRPr="00670186">
        <w:rPr>
          <w:rFonts w:ascii="Bookman Old Style" w:hAnsi="Bookman Old Style"/>
          <w:spacing w:val="-3"/>
          <w:sz w:val="28"/>
          <w:szCs w:val="28"/>
        </w:rPr>
        <w:t xml:space="preserve">y que en </w:t>
      </w:r>
      <w:r w:rsidR="00AD4894" w:rsidRPr="00670186">
        <w:rPr>
          <w:rFonts w:ascii="Bookman Old Style" w:hAnsi="Bookman Old Style"/>
          <w:spacing w:val="-3"/>
          <w:sz w:val="28"/>
          <w:szCs w:val="28"/>
        </w:rPr>
        <w:lastRenderedPageBreak/>
        <w:t xml:space="preserve">virtud del </w:t>
      </w:r>
      <w:r w:rsidR="00574671" w:rsidRPr="00670186">
        <w:rPr>
          <w:rFonts w:ascii="Bookman Old Style" w:hAnsi="Bookman Old Style"/>
          <w:spacing w:val="-3"/>
          <w:sz w:val="28"/>
          <w:szCs w:val="28"/>
        </w:rPr>
        <w:t xml:space="preserve">artículo 77 de la Ley 906 de 2004, </w:t>
      </w:r>
      <w:r w:rsidR="00AD4894" w:rsidRPr="00670186">
        <w:rPr>
          <w:rFonts w:ascii="Bookman Old Style" w:hAnsi="Bookman Old Style"/>
          <w:spacing w:val="-3"/>
          <w:sz w:val="28"/>
          <w:szCs w:val="28"/>
        </w:rPr>
        <w:t xml:space="preserve">conduce a la obligada </w:t>
      </w:r>
      <w:r w:rsidR="00574671" w:rsidRPr="00670186">
        <w:rPr>
          <w:rFonts w:ascii="Bookman Old Style" w:hAnsi="Bookman Old Style"/>
          <w:spacing w:val="-3"/>
          <w:sz w:val="28"/>
          <w:szCs w:val="28"/>
        </w:rPr>
        <w:t xml:space="preserve">conclusión </w:t>
      </w:r>
      <w:r w:rsidR="00AD4894" w:rsidRPr="00670186">
        <w:rPr>
          <w:rFonts w:ascii="Bookman Old Style" w:hAnsi="Bookman Old Style"/>
          <w:spacing w:val="-3"/>
          <w:sz w:val="28"/>
          <w:szCs w:val="28"/>
        </w:rPr>
        <w:t xml:space="preserve">del </w:t>
      </w:r>
      <w:r w:rsidR="00574671" w:rsidRPr="00670186">
        <w:rPr>
          <w:rFonts w:ascii="Bookman Old Style" w:hAnsi="Bookman Old Style"/>
          <w:spacing w:val="-3"/>
          <w:sz w:val="28"/>
          <w:szCs w:val="28"/>
        </w:rPr>
        <w:t>decret</w:t>
      </w:r>
      <w:r w:rsidR="00AD4894" w:rsidRPr="00670186">
        <w:rPr>
          <w:rFonts w:ascii="Bookman Old Style" w:hAnsi="Bookman Old Style"/>
          <w:spacing w:val="-3"/>
          <w:sz w:val="28"/>
          <w:szCs w:val="28"/>
        </w:rPr>
        <w:t>o de</w:t>
      </w:r>
      <w:r w:rsidR="00574671" w:rsidRPr="00670186">
        <w:rPr>
          <w:rFonts w:ascii="Bookman Old Style" w:hAnsi="Bookman Old Style"/>
          <w:spacing w:val="-3"/>
          <w:sz w:val="28"/>
          <w:szCs w:val="28"/>
        </w:rPr>
        <w:t xml:space="preserve"> extinción de la acción penal</w:t>
      </w:r>
      <w:r w:rsidR="00AD4894" w:rsidRPr="00670186">
        <w:rPr>
          <w:rFonts w:ascii="Bookman Old Style" w:hAnsi="Bookman Old Style"/>
          <w:spacing w:val="-3"/>
          <w:sz w:val="28"/>
          <w:szCs w:val="28"/>
        </w:rPr>
        <w:t>, a través de decisión judicial con fuerza de cosa juzgada</w:t>
      </w:r>
      <w:r w:rsidR="005A2C92" w:rsidRPr="00670186">
        <w:rPr>
          <w:rFonts w:ascii="Bookman Old Style" w:hAnsi="Bookman Old Style"/>
          <w:spacing w:val="-3"/>
          <w:sz w:val="28"/>
          <w:szCs w:val="28"/>
        </w:rPr>
        <w:t>.</w:t>
      </w:r>
    </w:p>
    <w:p w:rsidR="00AD4894" w:rsidRPr="00670186" w:rsidRDefault="00AD4894" w:rsidP="00574671">
      <w:pPr>
        <w:spacing w:line="360" w:lineRule="auto"/>
        <w:ind w:firstLine="708"/>
        <w:jc w:val="both"/>
        <w:rPr>
          <w:rFonts w:ascii="Bookman Old Style" w:hAnsi="Bookman Old Style"/>
          <w:spacing w:val="-3"/>
          <w:sz w:val="28"/>
          <w:szCs w:val="28"/>
        </w:rPr>
      </w:pPr>
    </w:p>
    <w:p w:rsidR="009C6516" w:rsidRPr="00670186" w:rsidRDefault="00AD4894" w:rsidP="00574671">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t xml:space="preserve">No puede ser de manera distinta, pues </w:t>
      </w:r>
      <w:r w:rsidR="009C6516" w:rsidRPr="00670186">
        <w:rPr>
          <w:rFonts w:ascii="Bookman Old Style" w:hAnsi="Bookman Old Style"/>
          <w:spacing w:val="-3"/>
          <w:sz w:val="28"/>
          <w:szCs w:val="28"/>
        </w:rPr>
        <w:t xml:space="preserve">el </w:t>
      </w:r>
      <w:r w:rsidR="009F10D3" w:rsidRPr="00670186">
        <w:rPr>
          <w:rFonts w:ascii="Bookman Old Style" w:hAnsi="Bookman Old Style"/>
          <w:spacing w:val="-3"/>
          <w:sz w:val="28"/>
          <w:szCs w:val="28"/>
        </w:rPr>
        <w:t xml:space="preserve">deceso del </w:t>
      </w:r>
      <w:r w:rsidR="009C6516" w:rsidRPr="00670186">
        <w:rPr>
          <w:rFonts w:ascii="Bookman Old Style" w:hAnsi="Bookman Old Style"/>
          <w:spacing w:val="-3"/>
          <w:sz w:val="28"/>
          <w:szCs w:val="28"/>
        </w:rPr>
        <w:t>sujeto</w:t>
      </w:r>
      <w:r w:rsidR="009F10D3" w:rsidRPr="00670186">
        <w:rPr>
          <w:rFonts w:ascii="Bookman Old Style" w:hAnsi="Bookman Old Style"/>
          <w:spacing w:val="-3"/>
          <w:sz w:val="28"/>
          <w:szCs w:val="28"/>
        </w:rPr>
        <w:t xml:space="preserve"> </w:t>
      </w:r>
      <w:proofErr w:type="gramStart"/>
      <w:r w:rsidR="009C6516" w:rsidRPr="00670186">
        <w:rPr>
          <w:rFonts w:ascii="Bookman Old Style" w:hAnsi="Bookman Old Style"/>
          <w:spacing w:val="-3"/>
          <w:sz w:val="28"/>
          <w:szCs w:val="28"/>
        </w:rPr>
        <w:t>pasivo,</w:t>
      </w:r>
      <w:proofErr w:type="gramEnd"/>
      <w:r w:rsidR="009C6516" w:rsidRPr="00670186">
        <w:rPr>
          <w:rFonts w:ascii="Bookman Old Style" w:hAnsi="Bookman Old Style"/>
          <w:spacing w:val="-3"/>
          <w:sz w:val="28"/>
          <w:szCs w:val="28"/>
        </w:rPr>
        <w:t xml:space="preserve"> se constituye en una circunstancia que imposibilita al Estado el adelantamiento de la acción penal, lo que de suyo trae como consecuencia la declar</w:t>
      </w:r>
      <w:r w:rsidRPr="00670186">
        <w:rPr>
          <w:rFonts w:ascii="Bookman Old Style" w:hAnsi="Bookman Old Style"/>
          <w:spacing w:val="-3"/>
          <w:sz w:val="28"/>
          <w:szCs w:val="28"/>
        </w:rPr>
        <w:t>atoria de</w:t>
      </w:r>
      <w:r w:rsidR="009C6516" w:rsidRPr="00670186">
        <w:rPr>
          <w:rFonts w:ascii="Bookman Old Style" w:hAnsi="Bookman Old Style"/>
          <w:spacing w:val="-3"/>
          <w:sz w:val="28"/>
          <w:szCs w:val="28"/>
        </w:rPr>
        <w:t xml:space="preserve"> preclusión de la misma.</w:t>
      </w:r>
    </w:p>
    <w:p w:rsidR="009C6516" w:rsidRPr="00670186" w:rsidRDefault="009C6516" w:rsidP="00574671">
      <w:pPr>
        <w:spacing w:line="360" w:lineRule="auto"/>
        <w:ind w:firstLine="708"/>
        <w:jc w:val="both"/>
        <w:rPr>
          <w:rFonts w:ascii="Bookman Old Style" w:hAnsi="Bookman Old Style"/>
          <w:spacing w:val="-3"/>
          <w:sz w:val="28"/>
          <w:szCs w:val="28"/>
        </w:rPr>
      </w:pPr>
    </w:p>
    <w:p w:rsidR="005A2C92" w:rsidRPr="00670186" w:rsidRDefault="00AD4894" w:rsidP="00574671">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t>Resulta forzosa dicha conclusión,</w:t>
      </w:r>
      <w:r w:rsidR="009C6516" w:rsidRPr="00670186">
        <w:rPr>
          <w:rFonts w:ascii="Bookman Old Style" w:hAnsi="Bookman Old Style"/>
          <w:spacing w:val="-3"/>
          <w:sz w:val="28"/>
          <w:szCs w:val="28"/>
        </w:rPr>
        <w:t xml:space="preserve"> si se parte de que cualquier sistemática procesal, bien sea acusatoria o inquisitiva, demanda el enfrentamiento de dos antagonistas, </w:t>
      </w:r>
      <w:r w:rsidR="00081DC0" w:rsidRPr="00670186">
        <w:rPr>
          <w:rFonts w:ascii="Bookman Old Style" w:hAnsi="Bookman Old Style"/>
          <w:spacing w:val="-3"/>
          <w:sz w:val="28"/>
          <w:szCs w:val="28"/>
        </w:rPr>
        <w:t>debate</w:t>
      </w:r>
      <w:r w:rsidR="009C6516" w:rsidRPr="00670186">
        <w:rPr>
          <w:rFonts w:ascii="Bookman Old Style" w:hAnsi="Bookman Old Style"/>
          <w:spacing w:val="-3"/>
          <w:sz w:val="28"/>
          <w:szCs w:val="28"/>
        </w:rPr>
        <w:t xml:space="preserve"> que no </w:t>
      </w:r>
      <w:r w:rsidR="00081DC0" w:rsidRPr="00670186">
        <w:rPr>
          <w:rFonts w:ascii="Bookman Old Style" w:hAnsi="Bookman Old Style"/>
          <w:spacing w:val="-3"/>
          <w:sz w:val="28"/>
          <w:szCs w:val="28"/>
        </w:rPr>
        <w:t>podría d</w:t>
      </w:r>
      <w:r w:rsidR="009C6516" w:rsidRPr="00670186">
        <w:rPr>
          <w:rFonts w:ascii="Bookman Old Style" w:hAnsi="Bookman Old Style"/>
          <w:spacing w:val="-3"/>
          <w:sz w:val="28"/>
          <w:szCs w:val="28"/>
        </w:rPr>
        <w:t>esarroll</w:t>
      </w:r>
      <w:r w:rsidR="00081DC0" w:rsidRPr="00670186">
        <w:rPr>
          <w:rFonts w:ascii="Bookman Old Style" w:hAnsi="Bookman Old Style"/>
          <w:spacing w:val="-3"/>
          <w:sz w:val="28"/>
          <w:szCs w:val="28"/>
        </w:rPr>
        <w:t>arse</w:t>
      </w:r>
      <w:r w:rsidR="009C6516" w:rsidRPr="00670186">
        <w:rPr>
          <w:rFonts w:ascii="Bookman Old Style" w:hAnsi="Bookman Old Style"/>
          <w:spacing w:val="-3"/>
          <w:sz w:val="28"/>
          <w:szCs w:val="28"/>
        </w:rPr>
        <w:t>, cuando no se cuenta con un adversario frente al cual desplegar la actividad estatal</w:t>
      </w:r>
      <w:r w:rsidR="00081DC0" w:rsidRPr="00670186">
        <w:rPr>
          <w:rFonts w:ascii="Bookman Old Style" w:hAnsi="Bookman Old Style"/>
          <w:spacing w:val="-3"/>
          <w:sz w:val="28"/>
          <w:szCs w:val="28"/>
        </w:rPr>
        <w:t>, desnaturalizando además</w:t>
      </w:r>
      <w:r w:rsidR="00363368" w:rsidRPr="00670186">
        <w:rPr>
          <w:rFonts w:ascii="Bookman Old Style" w:hAnsi="Bookman Old Style"/>
          <w:spacing w:val="-3"/>
          <w:sz w:val="28"/>
          <w:szCs w:val="28"/>
        </w:rPr>
        <w:t xml:space="preserve"> una de </w:t>
      </w:r>
      <w:r w:rsidR="00081DC0" w:rsidRPr="00670186">
        <w:rPr>
          <w:rFonts w:ascii="Bookman Old Style" w:hAnsi="Bookman Old Style"/>
          <w:spacing w:val="-3"/>
          <w:sz w:val="28"/>
          <w:szCs w:val="28"/>
        </w:rPr>
        <w:t>la</w:t>
      </w:r>
      <w:r w:rsidR="00363368" w:rsidRPr="00670186">
        <w:rPr>
          <w:rFonts w:ascii="Bookman Old Style" w:hAnsi="Bookman Old Style"/>
          <w:spacing w:val="-3"/>
          <w:sz w:val="28"/>
          <w:szCs w:val="28"/>
        </w:rPr>
        <w:t>s</w:t>
      </w:r>
      <w:r w:rsidR="00081DC0" w:rsidRPr="00670186">
        <w:rPr>
          <w:rFonts w:ascii="Bookman Old Style" w:hAnsi="Bookman Old Style"/>
          <w:spacing w:val="-3"/>
          <w:sz w:val="28"/>
          <w:szCs w:val="28"/>
        </w:rPr>
        <w:t xml:space="preserve"> finalidad</w:t>
      </w:r>
      <w:r w:rsidR="00363368" w:rsidRPr="00670186">
        <w:rPr>
          <w:rFonts w:ascii="Bookman Old Style" w:hAnsi="Bookman Old Style"/>
          <w:spacing w:val="-3"/>
          <w:sz w:val="28"/>
          <w:szCs w:val="28"/>
        </w:rPr>
        <w:t>es</w:t>
      </w:r>
      <w:r w:rsidR="00081DC0" w:rsidRPr="00670186">
        <w:rPr>
          <w:rFonts w:ascii="Bookman Old Style" w:hAnsi="Bookman Old Style"/>
          <w:spacing w:val="-3"/>
          <w:sz w:val="28"/>
          <w:szCs w:val="28"/>
        </w:rPr>
        <w:t xml:space="preserve"> propia</w:t>
      </w:r>
      <w:r w:rsidR="00363368" w:rsidRPr="00670186">
        <w:rPr>
          <w:rFonts w:ascii="Bookman Old Style" w:hAnsi="Bookman Old Style"/>
          <w:spacing w:val="-3"/>
          <w:sz w:val="28"/>
          <w:szCs w:val="28"/>
        </w:rPr>
        <w:t>s</w:t>
      </w:r>
      <w:r w:rsidR="00081DC0" w:rsidRPr="00670186">
        <w:rPr>
          <w:rFonts w:ascii="Bookman Old Style" w:hAnsi="Bookman Old Style"/>
          <w:spacing w:val="-3"/>
          <w:sz w:val="28"/>
          <w:szCs w:val="28"/>
        </w:rPr>
        <w:t xml:space="preserve"> del proceso penal,</w:t>
      </w:r>
      <w:r w:rsidR="00363368" w:rsidRPr="00670186">
        <w:rPr>
          <w:rFonts w:ascii="Bookman Old Style" w:hAnsi="Bookman Old Style"/>
          <w:spacing w:val="-3"/>
          <w:sz w:val="28"/>
          <w:szCs w:val="28"/>
        </w:rPr>
        <w:t xml:space="preserve"> como</w:t>
      </w:r>
      <w:r w:rsidR="005B4DEC" w:rsidRPr="00670186">
        <w:rPr>
          <w:rFonts w:ascii="Bookman Old Style" w:hAnsi="Bookman Old Style"/>
          <w:spacing w:val="-3"/>
          <w:sz w:val="28"/>
          <w:szCs w:val="28"/>
        </w:rPr>
        <w:t xml:space="preserve"> </w:t>
      </w:r>
      <w:r w:rsidR="00363368" w:rsidRPr="00670186">
        <w:rPr>
          <w:rFonts w:ascii="Bookman Old Style" w:hAnsi="Bookman Old Style"/>
          <w:spacing w:val="-3"/>
          <w:sz w:val="28"/>
          <w:szCs w:val="28"/>
        </w:rPr>
        <w:t>es hacer justicia, absolviendo al inocente y condenando al responsable, objetivo que no se podría cumplir, en la razón de la muerte del procesado.</w:t>
      </w:r>
    </w:p>
    <w:p w:rsidR="00574671" w:rsidRPr="00670186" w:rsidRDefault="00574671" w:rsidP="00574671">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t xml:space="preserve"> </w:t>
      </w:r>
    </w:p>
    <w:p w:rsidR="00574671" w:rsidRPr="00670186" w:rsidRDefault="0088274D" w:rsidP="0088274D">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t xml:space="preserve">Pues bien, estando acreditada la muerte del gobernador MANUEL JOSÉ BONET LOCARNO, se advierte palmaria la configuración de la causal objetiva que imposibilita proseguir con la acción penal que adelanta el fiscal </w:t>
      </w:r>
      <w:r w:rsidR="005B4DEC" w:rsidRPr="00670186">
        <w:rPr>
          <w:rFonts w:ascii="Bookman Old Style" w:hAnsi="Bookman Old Style"/>
          <w:spacing w:val="-3"/>
          <w:sz w:val="28"/>
          <w:szCs w:val="28"/>
        </w:rPr>
        <w:t>O</w:t>
      </w:r>
      <w:r w:rsidRPr="00670186">
        <w:rPr>
          <w:rFonts w:ascii="Bookman Old Style" w:hAnsi="Bookman Old Style"/>
          <w:spacing w:val="-3"/>
          <w:sz w:val="28"/>
          <w:szCs w:val="28"/>
        </w:rPr>
        <w:t xml:space="preserve">nce </w:t>
      </w:r>
      <w:r w:rsidR="005B4DEC" w:rsidRPr="00670186">
        <w:rPr>
          <w:rFonts w:ascii="Bookman Old Style" w:hAnsi="Bookman Old Style"/>
          <w:spacing w:val="-3"/>
          <w:sz w:val="28"/>
          <w:szCs w:val="28"/>
        </w:rPr>
        <w:t>D</w:t>
      </w:r>
      <w:r w:rsidRPr="00670186">
        <w:rPr>
          <w:rFonts w:ascii="Bookman Old Style" w:hAnsi="Bookman Old Style"/>
          <w:spacing w:val="-3"/>
          <w:sz w:val="28"/>
          <w:szCs w:val="28"/>
        </w:rPr>
        <w:t>elegado ante la Corte Suprema de Justicia</w:t>
      </w:r>
      <w:r w:rsidR="001B6D95" w:rsidRPr="00670186">
        <w:rPr>
          <w:rFonts w:ascii="Bookman Old Style" w:hAnsi="Bookman Old Style"/>
          <w:spacing w:val="-3"/>
          <w:sz w:val="28"/>
          <w:szCs w:val="28"/>
        </w:rPr>
        <w:t xml:space="preserve">, con ocasión de la celebración y ejecución del contrato 541 de 2011, </w:t>
      </w:r>
      <w:r w:rsidR="00A70B15" w:rsidRPr="00670186">
        <w:rPr>
          <w:rFonts w:ascii="Bookman Old Style" w:hAnsi="Bookman Old Style"/>
          <w:spacing w:val="-3"/>
          <w:sz w:val="28"/>
          <w:szCs w:val="28"/>
        </w:rPr>
        <w:t>decretándose en consonancia la preclusión de la investigación.</w:t>
      </w:r>
      <w:r w:rsidR="001B6D95" w:rsidRPr="00670186">
        <w:rPr>
          <w:rFonts w:ascii="Bookman Old Style" w:hAnsi="Bookman Old Style"/>
          <w:spacing w:val="-3"/>
          <w:sz w:val="28"/>
          <w:szCs w:val="28"/>
        </w:rPr>
        <w:t xml:space="preserve"> </w:t>
      </w:r>
    </w:p>
    <w:p w:rsidR="0088274D" w:rsidRPr="00670186" w:rsidRDefault="0088274D" w:rsidP="003F4C1E">
      <w:pPr>
        <w:spacing w:line="360" w:lineRule="auto"/>
        <w:ind w:firstLine="708"/>
        <w:rPr>
          <w:rFonts w:ascii="Bookman Old Style" w:hAnsi="Bookman Old Style"/>
          <w:spacing w:val="-3"/>
          <w:sz w:val="28"/>
          <w:szCs w:val="28"/>
        </w:rPr>
      </w:pPr>
    </w:p>
    <w:p w:rsidR="0088274D" w:rsidRPr="00670186" w:rsidRDefault="00761CE4" w:rsidP="00761CE4">
      <w:pPr>
        <w:spacing w:line="360" w:lineRule="auto"/>
        <w:ind w:firstLine="708"/>
        <w:jc w:val="both"/>
        <w:rPr>
          <w:rFonts w:ascii="Bookman Old Style" w:hAnsi="Bookman Old Style"/>
          <w:spacing w:val="-3"/>
          <w:sz w:val="28"/>
          <w:szCs w:val="28"/>
        </w:rPr>
      </w:pPr>
      <w:r w:rsidRPr="00670186">
        <w:rPr>
          <w:rFonts w:ascii="Bookman Old Style" w:hAnsi="Bookman Old Style"/>
          <w:spacing w:val="-3"/>
          <w:sz w:val="28"/>
          <w:szCs w:val="28"/>
        </w:rPr>
        <w:lastRenderedPageBreak/>
        <w:t>Contra la presente decisión procede el recurso de reposición, y el de apelación, s</w:t>
      </w:r>
      <w:r w:rsidR="00F6401B" w:rsidRPr="00670186">
        <w:rPr>
          <w:rFonts w:ascii="Bookman Old Style" w:hAnsi="Bookman Old Style"/>
          <w:spacing w:val="-3"/>
          <w:sz w:val="28"/>
          <w:szCs w:val="28"/>
        </w:rPr>
        <w:t>iguiendo los derroteros trazados por esta Sala</w:t>
      </w:r>
      <w:r w:rsidRPr="00670186">
        <w:rPr>
          <w:rFonts w:ascii="Bookman Old Style" w:hAnsi="Bookman Old Style"/>
          <w:spacing w:val="-3"/>
          <w:sz w:val="28"/>
          <w:szCs w:val="28"/>
        </w:rPr>
        <w:t>, dentro del radicado 51532</w:t>
      </w:r>
      <w:r w:rsidR="00D12ADE" w:rsidRPr="00670186">
        <w:rPr>
          <w:rStyle w:val="Refdenotaalpie"/>
          <w:rFonts w:ascii="Bookman Old Style" w:hAnsi="Bookman Old Style"/>
          <w:spacing w:val="-3"/>
          <w:sz w:val="28"/>
          <w:szCs w:val="28"/>
        </w:rPr>
        <w:footnoteReference w:id="3"/>
      </w:r>
      <w:r w:rsidRPr="00670186">
        <w:rPr>
          <w:rFonts w:ascii="Bookman Old Style" w:hAnsi="Bookman Old Style"/>
          <w:spacing w:val="-3"/>
          <w:sz w:val="28"/>
          <w:szCs w:val="28"/>
        </w:rPr>
        <w:t xml:space="preserve">. </w:t>
      </w:r>
    </w:p>
    <w:p w:rsidR="00A70B15" w:rsidRPr="00670186" w:rsidRDefault="00A70B15" w:rsidP="003F4C1E">
      <w:pPr>
        <w:spacing w:line="360" w:lineRule="auto"/>
        <w:ind w:firstLine="708"/>
        <w:rPr>
          <w:rFonts w:ascii="Bookman Old Style" w:hAnsi="Bookman Old Style"/>
          <w:spacing w:val="-3"/>
          <w:sz w:val="28"/>
          <w:szCs w:val="28"/>
        </w:rPr>
      </w:pPr>
    </w:p>
    <w:p w:rsidR="006339D0" w:rsidRPr="00670186" w:rsidRDefault="00A70B15" w:rsidP="005B4DEC">
      <w:pPr>
        <w:tabs>
          <w:tab w:val="left" w:pos="-720"/>
        </w:tabs>
        <w:suppressAutoHyphens/>
        <w:spacing w:line="360" w:lineRule="auto"/>
        <w:jc w:val="both"/>
        <w:rPr>
          <w:rFonts w:ascii="Bookman Old Style" w:hAnsi="Bookman Old Style"/>
          <w:spacing w:val="-3"/>
          <w:sz w:val="28"/>
          <w:szCs w:val="28"/>
        </w:rPr>
      </w:pPr>
      <w:r w:rsidRPr="00670186">
        <w:rPr>
          <w:rFonts w:ascii="Bookman Old Style" w:hAnsi="Bookman Old Style"/>
          <w:spacing w:val="-3"/>
          <w:sz w:val="28"/>
          <w:szCs w:val="28"/>
        </w:rPr>
        <w:tab/>
        <w:t xml:space="preserve">En mérito de lo expuesto, la Sala Especial de Primera Instancia de la Corte Suprema de Justicia. </w:t>
      </w:r>
    </w:p>
    <w:p w:rsidR="00781A90" w:rsidRPr="00670186" w:rsidRDefault="00781A90" w:rsidP="006339D0">
      <w:pPr>
        <w:tabs>
          <w:tab w:val="left" w:pos="-720"/>
        </w:tabs>
        <w:suppressAutoHyphens/>
        <w:spacing w:line="360" w:lineRule="auto"/>
        <w:jc w:val="center"/>
        <w:rPr>
          <w:rFonts w:ascii="Bookman Old Style" w:hAnsi="Bookman Old Style"/>
          <w:b/>
          <w:spacing w:val="-3"/>
          <w:sz w:val="28"/>
          <w:szCs w:val="28"/>
        </w:rPr>
      </w:pPr>
    </w:p>
    <w:p w:rsidR="00781A90" w:rsidRPr="00670186" w:rsidRDefault="00781A90" w:rsidP="006339D0">
      <w:pPr>
        <w:tabs>
          <w:tab w:val="left" w:pos="-720"/>
        </w:tabs>
        <w:suppressAutoHyphens/>
        <w:spacing w:line="360" w:lineRule="auto"/>
        <w:jc w:val="center"/>
        <w:rPr>
          <w:rFonts w:ascii="Bookman Old Style" w:hAnsi="Bookman Old Style"/>
          <w:b/>
          <w:spacing w:val="-3"/>
          <w:sz w:val="28"/>
          <w:szCs w:val="28"/>
        </w:rPr>
      </w:pPr>
    </w:p>
    <w:p w:rsidR="006339D0" w:rsidRPr="00670186" w:rsidRDefault="006339D0" w:rsidP="006339D0">
      <w:pPr>
        <w:spacing w:line="360" w:lineRule="auto"/>
        <w:jc w:val="center"/>
        <w:rPr>
          <w:rFonts w:ascii="Bookman Old Style" w:hAnsi="Bookman Old Style" w:cs="Arial"/>
          <w:b/>
          <w:spacing w:val="-3"/>
          <w:sz w:val="28"/>
          <w:szCs w:val="28"/>
        </w:rPr>
      </w:pPr>
      <w:r w:rsidRPr="00670186">
        <w:rPr>
          <w:rFonts w:ascii="Bookman Old Style" w:hAnsi="Bookman Old Style" w:cs="Arial"/>
          <w:b/>
          <w:spacing w:val="-3"/>
          <w:sz w:val="28"/>
          <w:szCs w:val="28"/>
        </w:rPr>
        <w:t>R E S U E L V E:</w:t>
      </w:r>
    </w:p>
    <w:p w:rsidR="00A70B15" w:rsidRPr="00670186" w:rsidRDefault="00A70B15" w:rsidP="00A70B15">
      <w:pPr>
        <w:spacing w:line="360" w:lineRule="auto"/>
        <w:rPr>
          <w:rFonts w:ascii="Bookman Old Style" w:hAnsi="Bookman Old Style" w:cs="Arial"/>
          <w:b/>
          <w:spacing w:val="-3"/>
          <w:sz w:val="28"/>
          <w:szCs w:val="28"/>
        </w:rPr>
      </w:pPr>
    </w:p>
    <w:p w:rsidR="00A70B15" w:rsidRPr="00670186" w:rsidRDefault="00A70B15" w:rsidP="00A70B15">
      <w:pPr>
        <w:spacing w:line="360" w:lineRule="auto"/>
        <w:jc w:val="both"/>
        <w:rPr>
          <w:rFonts w:ascii="Bookman Old Style" w:hAnsi="Bookman Old Style" w:cs="Arial"/>
          <w:spacing w:val="-3"/>
          <w:sz w:val="28"/>
          <w:szCs w:val="28"/>
        </w:rPr>
      </w:pPr>
      <w:r w:rsidRPr="00670186">
        <w:rPr>
          <w:rFonts w:ascii="Bookman Old Style" w:hAnsi="Bookman Old Style" w:cs="Arial"/>
          <w:b/>
          <w:spacing w:val="-3"/>
          <w:sz w:val="28"/>
          <w:szCs w:val="28"/>
        </w:rPr>
        <w:tab/>
        <w:t xml:space="preserve">PRIMERO: DECLARAR EXTINGUIDA </w:t>
      </w:r>
      <w:r w:rsidRPr="00670186">
        <w:rPr>
          <w:rFonts w:ascii="Bookman Old Style" w:hAnsi="Bookman Old Style" w:cs="Arial"/>
          <w:spacing w:val="-3"/>
          <w:sz w:val="28"/>
          <w:szCs w:val="28"/>
        </w:rPr>
        <w:t xml:space="preserve">la acción penal por muerte del indiciado. En consecuencia, </w:t>
      </w:r>
      <w:r w:rsidRPr="00670186">
        <w:rPr>
          <w:rFonts w:ascii="Bookman Old Style" w:hAnsi="Bookman Old Style" w:cs="Arial"/>
          <w:b/>
          <w:spacing w:val="-3"/>
          <w:sz w:val="28"/>
          <w:szCs w:val="28"/>
        </w:rPr>
        <w:t>PRECLUIR</w:t>
      </w:r>
      <w:r w:rsidRPr="00670186">
        <w:rPr>
          <w:rFonts w:ascii="Bookman Old Style" w:hAnsi="Bookman Old Style" w:cs="Arial"/>
          <w:spacing w:val="-3"/>
          <w:sz w:val="28"/>
          <w:szCs w:val="28"/>
        </w:rPr>
        <w:t xml:space="preserve"> </w:t>
      </w:r>
      <w:r w:rsidRPr="00670186">
        <w:rPr>
          <w:rFonts w:ascii="Bookman Old Style" w:hAnsi="Bookman Old Style" w:cs="Arial"/>
          <w:b/>
          <w:spacing w:val="-3"/>
          <w:sz w:val="28"/>
          <w:szCs w:val="28"/>
        </w:rPr>
        <w:t xml:space="preserve">LA INVESTIGACIÓN </w:t>
      </w:r>
      <w:r w:rsidRPr="00670186">
        <w:rPr>
          <w:rFonts w:ascii="Bookman Old Style" w:hAnsi="Bookman Old Style" w:cs="Arial"/>
          <w:spacing w:val="-3"/>
          <w:sz w:val="28"/>
          <w:szCs w:val="28"/>
        </w:rPr>
        <w:t>adelantada en contra de MANUEL JOSÉ BONET LOCARNO, con fundamento en la causal 1° del artículo 332 de la Ley 906 de 2004.</w:t>
      </w:r>
    </w:p>
    <w:p w:rsidR="006339D0" w:rsidRPr="00670186" w:rsidRDefault="006339D0" w:rsidP="006339D0">
      <w:pPr>
        <w:spacing w:line="360" w:lineRule="auto"/>
        <w:jc w:val="both"/>
        <w:rPr>
          <w:rFonts w:ascii="Bookman Old Style" w:hAnsi="Bookman Old Style" w:cs="Arial"/>
          <w:sz w:val="28"/>
          <w:szCs w:val="28"/>
        </w:rPr>
      </w:pPr>
    </w:p>
    <w:p w:rsidR="006339D0" w:rsidRPr="00670186" w:rsidRDefault="00A70B15" w:rsidP="00A70B15">
      <w:pPr>
        <w:tabs>
          <w:tab w:val="left" w:pos="-720"/>
        </w:tabs>
        <w:suppressAutoHyphens/>
        <w:spacing w:line="360" w:lineRule="auto"/>
        <w:jc w:val="both"/>
        <w:rPr>
          <w:rFonts w:ascii="Bookman Old Style" w:hAnsi="Bookman Old Style"/>
          <w:spacing w:val="-3"/>
          <w:sz w:val="28"/>
          <w:szCs w:val="28"/>
        </w:rPr>
      </w:pPr>
      <w:r w:rsidRPr="00670186">
        <w:rPr>
          <w:rFonts w:ascii="Bookman Old Style" w:hAnsi="Bookman Old Style"/>
          <w:b/>
          <w:spacing w:val="-3"/>
          <w:sz w:val="28"/>
          <w:szCs w:val="28"/>
        </w:rPr>
        <w:tab/>
        <w:t xml:space="preserve">SEGUNDO: </w:t>
      </w:r>
      <w:r w:rsidRPr="00670186">
        <w:rPr>
          <w:rFonts w:ascii="Bookman Old Style" w:hAnsi="Bookman Old Style"/>
          <w:spacing w:val="-3"/>
          <w:sz w:val="28"/>
          <w:szCs w:val="28"/>
        </w:rPr>
        <w:t xml:space="preserve">Una vez cobre ejecutoria la presente decisión, </w:t>
      </w:r>
      <w:r w:rsidRPr="00670186">
        <w:rPr>
          <w:rFonts w:ascii="Bookman Old Style" w:hAnsi="Bookman Old Style"/>
          <w:b/>
          <w:spacing w:val="-3"/>
          <w:sz w:val="28"/>
          <w:szCs w:val="28"/>
        </w:rPr>
        <w:t xml:space="preserve">ARCHIVAR </w:t>
      </w:r>
      <w:r w:rsidRPr="00670186">
        <w:rPr>
          <w:rFonts w:ascii="Bookman Old Style" w:hAnsi="Bookman Old Style"/>
          <w:spacing w:val="-3"/>
          <w:sz w:val="28"/>
          <w:szCs w:val="28"/>
        </w:rPr>
        <w:t>la actuación.</w:t>
      </w:r>
    </w:p>
    <w:p w:rsidR="00A70B15" w:rsidRPr="00670186" w:rsidRDefault="00A70B15" w:rsidP="00A70B15">
      <w:pPr>
        <w:tabs>
          <w:tab w:val="left" w:pos="-720"/>
        </w:tabs>
        <w:suppressAutoHyphens/>
        <w:spacing w:line="360" w:lineRule="auto"/>
        <w:jc w:val="both"/>
        <w:rPr>
          <w:rFonts w:ascii="Bookman Old Style" w:hAnsi="Bookman Old Style"/>
          <w:spacing w:val="-3"/>
          <w:sz w:val="28"/>
          <w:szCs w:val="28"/>
        </w:rPr>
      </w:pPr>
    </w:p>
    <w:p w:rsidR="00A70B15" w:rsidRPr="00670186" w:rsidRDefault="00A70B15" w:rsidP="00A70B15">
      <w:pPr>
        <w:tabs>
          <w:tab w:val="left" w:pos="-720"/>
        </w:tabs>
        <w:suppressAutoHyphens/>
        <w:spacing w:line="360" w:lineRule="auto"/>
        <w:jc w:val="both"/>
        <w:rPr>
          <w:rFonts w:ascii="Bookman Old Style" w:hAnsi="Bookman Old Style"/>
          <w:spacing w:val="-3"/>
          <w:sz w:val="28"/>
          <w:szCs w:val="28"/>
        </w:rPr>
      </w:pPr>
      <w:r w:rsidRPr="00670186">
        <w:rPr>
          <w:rFonts w:ascii="Bookman Old Style" w:hAnsi="Bookman Old Style"/>
          <w:spacing w:val="-3"/>
          <w:sz w:val="28"/>
          <w:szCs w:val="28"/>
        </w:rPr>
        <w:tab/>
      </w:r>
      <w:r w:rsidRPr="00670186">
        <w:rPr>
          <w:rFonts w:ascii="Bookman Old Style" w:hAnsi="Bookman Old Style"/>
          <w:b/>
          <w:spacing w:val="-3"/>
          <w:sz w:val="28"/>
          <w:szCs w:val="28"/>
        </w:rPr>
        <w:t xml:space="preserve">TERCERO: </w:t>
      </w:r>
      <w:r w:rsidRPr="00670186">
        <w:rPr>
          <w:rFonts w:ascii="Bookman Old Style" w:hAnsi="Bookman Old Style"/>
          <w:spacing w:val="-3"/>
          <w:sz w:val="28"/>
          <w:szCs w:val="28"/>
        </w:rPr>
        <w:t>Contra la presente decisión, proceden los recursos de reposición y apelación.</w:t>
      </w:r>
    </w:p>
    <w:p w:rsidR="00A70B15" w:rsidRPr="00670186" w:rsidRDefault="00A70B15" w:rsidP="00A70B15">
      <w:pPr>
        <w:tabs>
          <w:tab w:val="left" w:pos="-720"/>
        </w:tabs>
        <w:suppressAutoHyphens/>
        <w:spacing w:line="360" w:lineRule="auto"/>
        <w:jc w:val="both"/>
        <w:rPr>
          <w:rFonts w:ascii="Bookman Old Style" w:hAnsi="Bookman Old Style"/>
          <w:b/>
          <w:spacing w:val="-3"/>
          <w:sz w:val="28"/>
          <w:szCs w:val="28"/>
        </w:rPr>
      </w:pPr>
    </w:p>
    <w:p w:rsidR="00D12ADE" w:rsidRPr="00670186" w:rsidRDefault="00D12ADE" w:rsidP="00A70B15">
      <w:pPr>
        <w:tabs>
          <w:tab w:val="left" w:pos="-720"/>
        </w:tabs>
        <w:suppressAutoHyphens/>
        <w:spacing w:line="360" w:lineRule="auto"/>
        <w:jc w:val="both"/>
        <w:rPr>
          <w:rFonts w:ascii="Bookman Old Style" w:hAnsi="Bookman Old Style"/>
          <w:b/>
          <w:spacing w:val="-3"/>
          <w:sz w:val="28"/>
          <w:szCs w:val="28"/>
        </w:rPr>
      </w:pPr>
    </w:p>
    <w:p w:rsidR="00A70B15" w:rsidRPr="00670186" w:rsidRDefault="00D12ADE" w:rsidP="00A70B15">
      <w:pPr>
        <w:tabs>
          <w:tab w:val="left" w:pos="-720"/>
        </w:tabs>
        <w:suppressAutoHyphens/>
        <w:spacing w:line="360" w:lineRule="auto"/>
        <w:jc w:val="both"/>
        <w:rPr>
          <w:rFonts w:ascii="Bookman Old Style" w:hAnsi="Bookman Old Style"/>
          <w:b/>
          <w:spacing w:val="-3"/>
          <w:sz w:val="28"/>
          <w:szCs w:val="28"/>
        </w:rPr>
      </w:pPr>
      <w:r w:rsidRPr="00670186">
        <w:rPr>
          <w:rFonts w:ascii="Bookman Old Style" w:hAnsi="Bookman Old Style"/>
          <w:b/>
          <w:spacing w:val="-3"/>
          <w:sz w:val="28"/>
          <w:szCs w:val="28"/>
        </w:rPr>
        <w:tab/>
        <w:t>NOTIFÍQUESE Y CÚMPLASE</w:t>
      </w:r>
    </w:p>
    <w:p w:rsidR="006339D0" w:rsidRPr="00670186" w:rsidRDefault="006339D0" w:rsidP="006339D0">
      <w:pPr>
        <w:spacing w:line="360" w:lineRule="auto"/>
        <w:jc w:val="center"/>
        <w:rPr>
          <w:rFonts w:ascii="Bookman Old Style" w:hAnsi="Bookman Old Style"/>
          <w:sz w:val="28"/>
          <w:szCs w:val="28"/>
        </w:rPr>
      </w:pPr>
    </w:p>
    <w:p w:rsidR="00781A90" w:rsidRPr="00670186" w:rsidRDefault="00781A90" w:rsidP="00015A1A">
      <w:pPr>
        <w:spacing w:line="360" w:lineRule="auto"/>
        <w:jc w:val="both"/>
        <w:rPr>
          <w:rFonts w:ascii="Bookman Old Style" w:hAnsi="Bookman Old Style"/>
          <w:sz w:val="28"/>
          <w:szCs w:val="28"/>
        </w:rPr>
      </w:pPr>
    </w:p>
    <w:p w:rsidR="00781A90" w:rsidRPr="00670186" w:rsidRDefault="00781A90" w:rsidP="00015A1A">
      <w:pPr>
        <w:spacing w:line="360" w:lineRule="auto"/>
        <w:jc w:val="both"/>
        <w:rPr>
          <w:rFonts w:ascii="Bookman Old Style" w:hAnsi="Bookman Old Style"/>
          <w:sz w:val="28"/>
          <w:szCs w:val="28"/>
        </w:rPr>
      </w:pPr>
    </w:p>
    <w:p w:rsidR="0092308B" w:rsidRPr="00670186" w:rsidRDefault="0092308B" w:rsidP="0092308B">
      <w:pPr>
        <w:spacing w:line="276"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JORGE EMILIO CALDAS VERA </w:t>
      </w:r>
    </w:p>
    <w:p w:rsidR="0092308B" w:rsidRPr="00670186" w:rsidRDefault="0092308B" w:rsidP="0092308B">
      <w:pPr>
        <w:spacing w:line="276"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Magistrado </w:t>
      </w:r>
    </w:p>
    <w:p w:rsidR="006339D0" w:rsidRPr="00670186" w:rsidRDefault="006339D0" w:rsidP="00015A1A">
      <w:pPr>
        <w:spacing w:line="360" w:lineRule="auto"/>
        <w:jc w:val="both"/>
        <w:rPr>
          <w:rFonts w:ascii="Bookman Old Style" w:hAnsi="Bookman Old Style"/>
          <w:sz w:val="28"/>
          <w:szCs w:val="28"/>
        </w:rPr>
      </w:pPr>
    </w:p>
    <w:p w:rsidR="00015A1A" w:rsidRPr="00670186" w:rsidRDefault="00015A1A" w:rsidP="00266650">
      <w:pPr>
        <w:spacing w:line="276" w:lineRule="auto"/>
        <w:jc w:val="both"/>
        <w:rPr>
          <w:rFonts w:ascii="Bookman Old Style" w:hAnsi="Bookman Old Style"/>
          <w:sz w:val="28"/>
          <w:szCs w:val="28"/>
        </w:rPr>
      </w:pPr>
    </w:p>
    <w:p w:rsidR="006339D0" w:rsidRPr="00670186" w:rsidRDefault="006339D0" w:rsidP="00266650">
      <w:pPr>
        <w:spacing w:line="276" w:lineRule="auto"/>
        <w:jc w:val="both"/>
        <w:rPr>
          <w:rFonts w:ascii="Bookman Old Style" w:hAnsi="Bookman Old Style"/>
          <w:sz w:val="28"/>
          <w:szCs w:val="28"/>
        </w:rPr>
      </w:pPr>
    </w:p>
    <w:p w:rsidR="00015A1A" w:rsidRPr="00670186" w:rsidRDefault="00266650" w:rsidP="00266650">
      <w:pPr>
        <w:spacing w:line="276"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RAMIRO ALONSO MARÍN VÁSQUEZ</w:t>
      </w:r>
    </w:p>
    <w:p w:rsidR="00015A1A" w:rsidRPr="00670186" w:rsidRDefault="00015A1A" w:rsidP="00266650">
      <w:pPr>
        <w:spacing w:line="276"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Magistrado </w:t>
      </w:r>
    </w:p>
    <w:p w:rsidR="00266650" w:rsidRPr="00670186" w:rsidRDefault="00266650" w:rsidP="00266650">
      <w:pPr>
        <w:spacing w:line="276" w:lineRule="auto"/>
        <w:jc w:val="center"/>
        <w:rPr>
          <w:rFonts w:ascii="Bookman Old Style" w:hAnsi="Bookman Old Style" w:cs="Arial"/>
          <w:b/>
          <w:spacing w:val="-6"/>
          <w:sz w:val="28"/>
          <w:szCs w:val="28"/>
        </w:rPr>
      </w:pPr>
    </w:p>
    <w:p w:rsidR="006339D0" w:rsidRPr="00670186" w:rsidRDefault="006339D0" w:rsidP="00266650">
      <w:pPr>
        <w:spacing w:line="276" w:lineRule="auto"/>
        <w:jc w:val="center"/>
        <w:rPr>
          <w:rFonts w:ascii="Bookman Old Style" w:hAnsi="Bookman Old Style" w:cs="Arial"/>
          <w:b/>
          <w:spacing w:val="-6"/>
          <w:sz w:val="28"/>
          <w:szCs w:val="28"/>
        </w:rPr>
      </w:pPr>
    </w:p>
    <w:p w:rsidR="00781A90" w:rsidRPr="00670186" w:rsidRDefault="00781A90" w:rsidP="00266650">
      <w:pPr>
        <w:spacing w:line="276" w:lineRule="auto"/>
        <w:jc w:val="center"/>
        <w:rPr>
          <w:rFonts w:ascii="Bookman Old Style" w:hAnsi="Bookman Old Style" w:cs="Arial"/>
          <w:b/>
          <w:spacing w:val="-6"/>
          <w:sz w:val="28"/>
          <w:szCs w:val="28"/>
        </w:rPr>
      </w:pPr>
    </w:p>
    <w:p w:rsidR="00781A90" w:rsidRPr="00670186" w:rsidRDefault="00781A90" w:rsidP="00266650">
      <w:pPr>
        <w:spacing w:line="276" w:lineRule="auto"/>
        <w:jc w:val="center"/>
        <w:rPr>
          <w:rFonts w:ascii="Bookman Old Style" w:hAnsi="Bookman Old Style" w:cs="Arial"/>
          <w:b/>
          <w:spacing w:val="-6"/>
          <w:sz w:val="28"/>
          <w:szCs w:val="28"/>
        </w:rPr>
      </w:pPr>
    </w:p>
    <w:p w:rsidR="006339D0" w:rsidRPr="00670186" w:rsidRDefault="006339D0" w:rsidP="00266650">
      <w:pPr>
        <w:spacing w:line="276" w:lineRule="auto"/>
        <w:jc w:val="center"/>
        <w:rPr>
          <w:rFonts w:ascii="Bookman Old Style" w:hAnsi="Bookman Old Style" w:cs="Arial"/>
          <w:b/>
          <w:spacing w:val="-6"/>
          <w:sz w:val="28"/>
          <w:szCs w:val="28"/>
        </w:rPr>
      </w:pPr>
    </w:p>
    <w:p w:rsidR="00266650" w:rsidRPr="00670186" w:rsidRDefault="00266650" w:rsidP="00266650">
      <w:pPr>
        <w:spacing w:line="276" w:lineRule="auto"/>
        <w:jc w:val="center"/>
        <w:rPr>
          <w:rFonts w:ascii="Bookman Old Style" w:hAnsi="Bookman Old Style" w:cs="Arial"/>
          <w:b/>
          <w:spacing w:val="-6"/>
          <w:sz w:val="28"/>
          <w:szCs w:val="28"/>
        </w:rPr>
      </w:pPr>
    </w:p>
    <w:p w:rsidR="00266650" w:rsidRPr="00670186" w:rsidRDefault="00266650" w:rsidP="00266650">
      <w:pPr>
        <w:spacing w:line="276"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ARIEL AUGUSTO TORRES ROJAS </w:t>
      </w:r>
    </w:p>
    <w:p w:rsidR="00266650" w:rsidRPr="00670186" w:rsidRDefault="00266650" w:rsidP="00266650">
      <w:pPr>
        <w:spacing w:line="276" w:lineRule="auto"/>
        <w:jc w:val="center"/>
        <w:rPr>
          <w:rFonts w:ascii="Bookman Old Style" w:hAnsi="Bookman Old Style" w:cs="Arial"/>
          <w:b/>
          <w:spacing w:val="-6"/>
          <w:sz w:val="28"/>
          <w:szCs w:val="28"/>
        </w:rPr>
      </w:pPr>
      <w:r w:rsidRPr="00670186">
        <w:rPr>
          <w:rFonts w:ascii="Bookman Old Style" w:hAnsi="Bookman Old Style" w:cs="Arial"/>
          <w:b/>
          <w:spacing w:val="-6"/>
          <w:sz w:val="28"/>
          <w:szCs w:val="28"/>
        </w:rPr>
        <w:t xml:space="preserve">Magistrado </w:t>
      </w:r>
    </w:p>
    <w:p w:rsidR="00266650" w:rsidRPr="00670186" w:rsidRDefault="00266650" w:rsidP="00266650">
      <w:pPr>
        <w:spacing w:line="360" w:lineRule="auto"/>
        <w:jc w:val="both"/>
        <w:rPr>
          <w:rFonts w:ascii="Bookman Old Style" w:hAnsi="Bookman Old Style"/>
          <w:sz w:val="28"/>
          <w:szCs w:val="28"/>
        </w:rPr>
      </w:pPr>
    </w:p>
    <w:p w:rsidR="006339D0" w:rsidRPr="00670186" w:rsidRDefault="006339D0" w:rsidP="00266650">
      <w:pPr>
        <w:spacing w:line="360" w:lineRule="auto"/>
        <w:jc w:val="both"/>
        <w:rPr>
          <w:rFonts w:ascii="Bookman Old Style" w:hAnsi="Bookman Old Style"/>
          <w:sz w:val="28"/>
          <w:szCs w:val="28"/>
        </w:rPr>
      </w:pPr>
    </w:p>
    <w:p w:rsidR="00266650" w:rsidRPr="00670186" w:rsidRDefault="00266650" w:rsidP="00266650">
      <w:pPr>
        <w:spacing w:line="360" w:lineRule="auto"/>
        <w:jc w:val="both"/>
        <w:rPr>
          <w:rFonts w:ascii="Bookman Old Style" w:hAnsi="Bookman Old Style"/>
          <w:sz w:val="28"/>
          <w:szCs w:val="28"/>
        </w:rPr>
      </w:pPr>
    </w:p>
    <w:p w:rsidR="006339D0" w:rsidRPr="00670186" w:rsidRDefault="006339D0" w:rsidP="00266650">
      <w:pPr>
        <w:spacing w:line="360" w:lineRule="auto"/>
        <w:jc w:val="both"/>
        <w:rPr>
          <w:rFonts w:ascii="Bookman Old Style" w:hAnsi="Bookman Old Style"/>
          <w:sz w:val="28"/>
          <w:szCs w:val="28"/>
        </w:rPr>
      </w:pPr>
    </w:p>
    <w:p w:rsidR="00266650" w:rsidRPr="00670186" w:rsidRDefault="00266650" w:rsidP="00266650">
      <w:pPr>
        <w:spacing w:line="360" w:lineRule="auto"/>
        <w:jc w:val="center"/>
        <w:rPr>
          <w:rFonts w:ascii="Bookman Old Style" w:hAnsi="Bookman Old Style"/>
          <w:sz w:val="28"/>
          <w:szCs w:val="28"/>
        </w:rPr>
      </w:pPr>
      <w:r w:rsidRPr="00670186">
        <w:rPr>
          <w:rFonts w:ascii="Bookman Old Style" w:hAnsi="Bookman Old Style"/>
          <w:sz w:val="28"/>
          <w:szCs w:val="28"/>
        </w:rPr>
        <w:t>ADRIAN</w:t>
      </w:r>
      <w:r w:rsidR="006800DE" w:rsidRPr="00670186">
        <w:rPr>
          <w:rFonts w:ascii="Bookman Old Style" w:hAnsi="Bookman Old Style"/>
          <w:sz w:val="28"/>
          <w:szCs w:val="28"/>
        </w:rPr>
        <w:t xml:space="preserve">A </w:t>
      </w:r>
      <w:r w:rsidRPr="00670186">
        <w:rPr>
          <w:rFonts w:ascii="Bookman Old Style" w:hAnsi="Bookman Old Style"/>
          <w:sz w:val="28"/>
          <w:szCs w:val="28"/>
        </w:rPr>
        <w:t>HERN</w:t>
      </w:r>
      <w:r w:rsidR="006800DE" w:rsidRPr="00670186">
        <w:rPr>
          <w:rFonts w:ascii="Bookman Old Style" w:hAnsi="Bookman Old Style"/>
          <w:sz w:val="28"/>
          <w:szCs w:val="28"/>
        </w:rPr>
        <w:t>Á</w:t>
      </w:r>
      <w:r w:rsidRPr="00670186">
        <w:rPr>
          <w:rFonts w:ascii="Bookman Old Style" w:hAnsi="Bookman Old Style"/>
          <w:sz w:val="28"/>
          <w:szCs w:val="28"/>
        </w:rPr>
        <w:t>NDEZ AGUILAR</w:t>
      </w:r>
    </w:p>
    <w:p w:rsidR="00266650" w:rsidRDefault="00266650" w:rsidP="00266650">
      <w:pPr>
        <w:spacing w:line="360" w:lineRule="auto"/>
        <w:jc w:val="center"/>
        <w:rPr>
          <w:rFonts w:ascii="Bookman Old Style" w:hAnsi="Bookman Old Style"/>
          <w:sz w:val="28"/>
          <w:szCs w:val="28"/>
        </w:rPr>
      </w:pPr>
      <w:r w:rsidRPr="00670186">
        <w:rPr>
          <w:rFonts w:ascii="Bookman Old Style" w:hAnsi="Bookman Old Style"/>
          <w:sz w:val="28"/>
          <w:szCs w:val="28"/>
        </w:rPr>
        <w:t>Secretaria</w:t>
      </w:r>
      <w:r>
        <w:rPr>
          <w:rFonts w:ascii="Bookman Old Style" w:hAnsi="Bookman Old Style"/>
          <w:sz w:val="28"/>
          <w:szCs w:val="28"/>
        </w:rPr>
        <w:t xml:space="preserve"> </w:t>
      </w: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sectPr w:rsidR="006339D0" w:rsidSect="00DF5F4B">
      <w:headerReference w:type="default" r:id="rId8"/>
      <w:footerReference w:type="default" r:id="rId9"/>
      <w:headerReference w:type="first" r:id="rId10"/>
      <w:footerReference w:type="first" r:id="rId11"/>
      <w:pgSz w:w="12242" w:h="18722" w:code="14"/>
      <w:pgMar w:top="2268" w:right="1418" w:bottom="1418" w:left="2268" w:header="851" w:footer="1134" w:gutter="0"/>
      <w:paperSrc w:first="1" w:other="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E82" w:rsidRDefault="008D5E82" w:rsidP="007C63A7">
      <w:r>
        <w:separator/>
      </w:r>
    </w:p>
  </w:endnote>
  <w:endnote w:type="continuationSeparator" w:id="0">
    <w:p w:rsidR="008D5E82" w:rsidRDefault="008D5E82"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97588"/>
      <w:docPartObj>
        <w:docPartGallery w:val="Page Numbers (Bottom of Page)"/>
        <w:docPartUnique/>
      </w:docPartObj>
    </w:sdtPr>
    <w:sdtEndPr/>
    <w:sdtContent>
      <w:sdt>
        <w:sdtPr>
          <w:id w:val="1728636285"/>
          <w:docPartObj>
            <w:docPartGallery w:val="Page Numbers (Top of Page)"/>
            <w:docPartUnique/>
          </w:docPartObj>
        </w:sdtPr>
        <w:sdtEndPr/>
        <w:sdtContent>
          <w:p w:rsidR="00175B06" w:rsidRDefault="00175B06">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8171A">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8171A">
              <w:rPr>
                <w:b/>
                <w:bCs/>
                <w:noProof/>
              </w:rPr>
              <w:t>3</w:t>
            </w:r>
            <w:r>
              <w:rPr>
                <w:b/>
                <w:bCs/>
                <w:sz w:val="24"/>
                <w:szCs w:val="24"/>
              </w:rPr>
              <w:fldChar w:fldCharType="end"/>
            </w:r>
          </w:p>
        </w:sdtContent>
      </w:sdt>
    </w:sdtContent>
  </w:sdt>
  <w:p w:rsidR="00175B06" w:rsidRDefault="00175B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22" w:rsidRDefault="006339D0" w:rsidP="006339D0">
    <w:pPr>
      <w:pStyle w:val="Piedepgina"/>
      <w:jc w:val="center"/>
    </w:pPr>
    <w:r>
      <w:t xml:space="preserve">Página </w:t>
    </w:r>
    <w:r>
      <w:rPr>
        <w:b/>
        <w:bCs/>
      </w:rPr>
      <w:fldChar w:fldCharType="begin"/>
    </w:r>
    <w:r>
      <w:rPr>
        <w:b/>
        <w:bCs/>
      </w:rPr>
      <w:instrText>PAGE  \* Arabic  \* MERGEFORMAT</w:instrText>
    </w:r>
    <w:r>
      <w:rPr>
        <w:b/>
        <w:bCs/>
      </w:rPr>
      <w:fldChar w:fldCharType="separate"/>
    </w:r>
    <w:r w:rsidR="00D8171A">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D8171A">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E82" w:rsidRDefault="008D5E82" w:rsidP="007C63A7">
      <w:r>
        <w:separator/>
      </w:r>
    </w:p>
  </w:footnote>
  <w:footnote w:type="continuationSeparator" w:id="0">
    <w:p w:rsidR="008D5E82" w:rsidRDefault="008D5E82" w:rsidP="007C63A7">
      <w:r>
        <w:continuationSeparator/>
      </w:r>
    </w:p>
  </w:footnote>
  <w:footnote w:id="1">
    <w:p w:rsidR="00A01001" w:rsidRDefault="00A01001">
      <w:pPr>
        <w:pStyle w:val="Textonotapie"/>
      </w:pPr>
      <w:r>
        <w:rPr>
          <w:rStyle w:val="Refdenotaalpie"/>
        </w:rPr>
        <w:footnoteRef/>
      </w:r>
      <w:r>
        <w:t xml:space="preserve"> Art 250-4 Constitución Política, </w:t>
      </w:r>
      <w:r w:rsidR="002D1812">
        <w:t>s</w:t>
      </w:r>
      <w:r>
        <w:t>entencias C-872 de 2003, C-591 de 2005 y C-209 de 2007 entre otras</w:t>
      </w:r>
      <w:r w:rsidR="002D1812">
        <w:t>.</w:t>
      </w:r>
    </w:p>
  </w:footnote>
  <w:footnote w:id="2">
    <w:p w:rsidR="00A01001" w:rsidRDefault="00A01001">
      <w:pPr>
        <w:pStyle w:val="Textonotapie"/>
      </w:pPr>
      <w:r>
        <w:rPr>
          <w:rStyle w:val="Refdenotaalpie"/>
        </w:rPr>
        <w:footnoteRef/>
      </w:r>
      <w:r>
        <w:t xml:space="preserve"> Sentencia C-591 de 2005.</w:t>
      </w:r>
    </w:p>
  </w:footnote>
  <w:footnote w:id="3">
    <w:p w:rsidR="00D12ADE" w:rsidRDefault="00D12ADE" w:rsidP="00D12ADE">
      <w:pPr>
        <w:pStyle w:val="Textonotapie"/>
      </w:pPr>
      <w:r>
        <w:rPr>
          <w:rStyle w:val="Refdenotaalpie"/>
        </w:rPr>
        <w:footnoteRef/>
      </w:r>
      <w:r>
        <w:t xml:space="preserve"> CSJ AEP 009-2018. radicación 51532, 5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22" w:rsidRDefault="00590222" w:rsidP="00590222">
    <w:pPr>
      <w:pStyle w:val="Encabezado"/>
      <w:jc w:val="right"/>
      <w:rPr>
        <w:lang w:val="es-CO"/>
      </w:rPr>
    </w:pPr>
  </w:p>
  <w:p w:rsidR="00DF5F4B" w:rsidRDefault="00DF5F4B" w:rsidP="00DF5F4B">
    <w:pPr>
      <w:pStyle w:val="Encabezado"/>
      <w:jc w:val="center"/>
      <w:rPr>
        <w:noProof/>
        <w:lang w:val="es-CO" w:eastAsia="es-CO"/>
      </w:rPr>
    </w:pPr>
  </w:p>
  <w:p w:rsidR="00590222" w:rsidRPr="00781A90" w:rsidRDefault="00781A90" w:rsidP="00781A90">
    <w:pPr>
      <w:pStyle w:val="Encabezado"/>
      <w:jc w:val="right"/>
      <w:rPr>
        <w:rFonts w:ascii="Bookman Old Style" w:hAnsi="Bookman Old Style"/>
        <w:sz w:val="20"/>
        <w:szCs w:val="20"/>
        <w:lang w:val="es-CO"/>
      </w:rPr>
    </w:pPr>
    <w:r w:rsidRPr="00781A90">
      <w:rPr>
        <w:rFonts w:ascii="Bookman Old Style" w:hAnsi="Bookman Old Style"/>
        <w:sz w:val="20"/>
        <w:szCs w:val="20"/>
        <w:lang w:val="es-CO"/>
      </w:rPr>
      <w:t xml:space="preserve">PRIMERA INSTANCIA No.  </w:t>
    </w:r>
    <w:r w:rsidR="00AD5161">
      <w:rPr>
        <w:rFonts w:ascii="Bookman Old Style" w:hAnsi="Bookman Old Style"/>
        <w:sz w:val="20"/>
        <w:szCs w:val="20"/>
        <w:lang w:val="es-CO"/>
      </w:rPr>
      <w:t>53051</w:t>
    </w:r>
  </w:p>
  <w:p w:rsidR="00781A90" w:rsidRPr="00781A90" w:rsidRDefault="00AD5161" w:rsidP="00781A90">
    <w:pPr>
      <w:pStyle w:val="Encabezado"/>
      <w:jc w:val="right"/>
      <w:rPr>
        <w:rFonts w:ascii="Bookman Old Style" w:hAnsi="Bookman Old Style"/>
        <w:sz w:val="20"/>
        <w:szCs w:val="20"/>
        <w:lang w:val="es-CO"/>
      </w:rPr>
    </w:pPr>
    <w:r>
      <w:rPr>
        <w:rFonts w:ascii="Bookman Old Style" w:hAnsi="Bookman Old Style"/>
        <w:sz w:val="20"/>
        <w:szCs w:val="20"/>
        <w:lang w:val="es-CO"/>
      </w:rPr>
      <w:t>MANUEL JOSÉ BONET</w:t>
    </w:r>
    <w:r w:rsidR="002C497A">
      <w:rPr>
        <w:rFonts w:ascii="Bookman Old Style" w:hAnsi="Bookman Old Style"/>
        <w:sz w:val="20"/>
        <w:szCs w:val="20"/>
        <w:lang w:val="es-CO"/>
      </w:rPr>
      <w:t xml:space="preserve"> </w:t>
    </w:r>
    <w:r>
      <w:rPr>
        <w:rFonts w:ascii="Bookman Old Style" w:hAnsi="Bookman Old Style"/>
        <w:sz w:val="20"/>
        <w:szCs w:val="20"/>
        <w:lang w:val="es-CO"/>
      </w:rPr>
      <w:t>LOCARNO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E3" w:rsidRDefault="006838E3" w:rsidP="007C63A7">
    <w:pPr>
      <w:pStyle w:val="Encabezado"/>
      <w:jc w:val="center"/>
    </w:pPr>
  </w:p>
  <w:p w:rsidR="007C63A7" w:rsidRDefault="007C63A7" w:rsidP="007C63A7">
    <w:pPr>
      <w:pStyle w:val="Encabezado"/>
      <w:jc w:val="center"/>
    </w:pPr>
    <w:r w:rsidRPr="007C63A7">
      <w:rPr>
        <w:noProof/>
        <w:lang w:val="es-CO" w:eastAsia="es-CO"/>
      </w:rPr>
      <w:drawing>
        <wp:inline distT="0" distB="0" distL="0" distR="0">
          <wp:extent cx="1981200" cy="1809750"/>
          <wp:effectExtent l="0" t="0" r="0" b="0"/>
          <wp:docPr id="2" name="Imagen 2"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C42A72"/>
    <w:multiLevelType w:val="hybridMultilevel"/>
    <w:tmpl w:val="1596A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35"/>
    <w:rsid w:val="000108D1"/>
    <w:rsid w:val="00015A1A"/>
    <w:rsid w:val="000261EC"/>
    <w:rsid w:val="00026560"/>
    <w:rsid w:val="00042BE7"/>
    <w:rsid w:val="00075FC9"/>
    <w:rsid w:val="00081DC0"/>
    <w:rsid w:val="000829C6"/>
    <w:rsid w:val="000A204B"/>
    <w:rsid w:val="001420D8"/>
    <w:rsid w:val="00166E35"/>
    <w:rsid w:val="00175B06"/>
    <w:rsid w:val="00181380"/>
    <w:rsid w:val="001B6D95"/>
    <w:rsid w:val="001B70AF"/>
    <w:rsid w:val="001F6C68"/>
    <w:rsid w:val="002362A8"/>
    <w:rsid w:val="00246148"/>
    <w:rsid w:val="00266650"/>
    <w:rsid w:val="002A088A"/>
    <w:rsid w:val="002B69EC"/>
    <w:rsid w:val="002B7BF6"/>
    <w:rsid w:val="002C497A"/>
    <w:rsid w:val="002D1812"/>
    <w:rsid w:val="002D6847"/>
    <w:rsid w:val="0034478D"/>
    <w:rsid w:val="0035397E"/>
    <w:rsid w:val="00363368"/>
    <w:rsid w:val="0036497E"/>
    <w:rsid w:val="00364D06"/>
    <w:rsid w:val="003735E0"/>
    <w:rsid w:val="003A305F"/>
    <w:rsid w:val="003A6F54"/>
    <w:rsid w:val="003B52FD"/>
    <w:rsid w:val="003F4C1E"/>
    <w:rsid w:val="0045049B"/>
    <w:rsid w:val="00486C35"/>
    <w:rsid w:val="004C40B7"/>
    <w:rsid w:val="004E1DC1"/>
    <w:rsid w:val="004F00E5"/>
    <w:rsid w:val="005370B4"/>
    <w:rsid w:val="0055001E"/>
    <w:rsid w:val="00574671"/>
    <w:rsid w:val="005749F4"/>
    <w:rsid w:val="00590222"/>
    <w:rsid w:val="005A0CD1"/>
    <w:rsid w:val="005A2C92"/>
    <w:rsid w:val="005B12F5"/>
    <w:rsid w:val="005B3631"/>
    <w:rsid w:val="005B4DEC"/>
    <w:rsid w:val="005E1721"/>
    <w:rsid w:val="005E4F64"/>
    <w:rsid w:val="005F0562"/>
    <w:rsid w:val="005F478D"/>
    <w:rsid w:val="00631BE6"/>
    <w:rsid w:val="006339D0"/>
    <w:rsid w:val="00663661"/>
    <w:rsid w:val="00670186"/>
    <w:rsid w:val="006800DE"/>
    <w:rsid w:val="006838E3"/>
    <w:rsid w:val="006A56F0"/>
    <w:rsid w:val="006B7EAF"/>
    <w:rsid w:val="006D3F65"/>
    <w:rsid w:val="0071243A"/>
    <w:rsid w:val="00752FAF"/>
    <w:rsid w:val="0075606C"/>
    <w:rsid w:val="00761CE4"/>
    <w:rsid w:val="00781A90"/>
    <w:rsid w:val="0078791C"/>
    <w:rsid w:val="0079534F"/>
    <w:rsid w:val="007C63A7"/>
    <w:rsid w:val="007D7310"/>
    <w:rsid w:val="007D7546"/>
    <w:rsid w:val="00814FED"/>
    <w:rsid w:val="00823FBD"/>
    <w:rsid w:val="00843721"/>
    <w:rsid w:val="00866211"/>
    <w:rsid w:val="0088274D"/>
    <w:rsid w:val="008B4A0D"/>
    <w:rsid w:val="008D5E82"/>
    <w:rsid w:val="00904AAF"/>
    <w:rsid w:val="0092308B"/>
    <w:rsid w:val="0098767F"/>
    <w:rsid w:val="009C2DAA"/>
    <w:rsid w:val="009C6516"/>
    <w:rsid w:val="009D595F"/>
    <w:rsid w:val="009F10D3"/>
    <w:rsid w:val="009F185B"/>
    <w:rsid w:val="009F1D2F"/>
    <w:rsid w:val="00A01001"/>
    <w:rsid w:val="00A02CE5"/>
    <w:rsid w:val="00A16052"/>
    <w:rsid w:val="00A47760"/>
    <w:rsid w:val="00A70B15"/>
    <w:rsid w:val="00AB330D"/>
    <w:rsid w:val="00AC16D7"/>
    <w:rsid w:val="00AD4894"/>
    <w:rsid w:val="00AD5161"/>
    <w:rsid w:val="00AF15C5"/>
    <w:rsid w:val="00AF2ABA"/>
    <w:rsid w:val="00AF4F8E"/>
    <w:rsid w:val="00B3300D"/>
    <w:rsid w:val="00B75A96"/>
    <w:rsid w:val="00B827A4"/>
    <w:rsid w:val="00BA43C5"/>
    <w:rsid w:val="00BA757D"/>
    <w:rsid w:val="00BD4875"/>
    <w:rsid w:val="00C01B2D"/>
    <w:rsid w:val="00C32039"/>
    <w:rsid w:val="00C56910"/>
    <w:rsid w:val="00C71AD2"/>
    <w:rsid w:val="00C75F87"/>
    <w:rsid w:val="00C82246"/>
    <w:rsid w:val="00C928EF"/>
    <w:rsid w:val="00CB64B8"/>
    <w:rsid w:val="00CC1A0C"/>
    <w:rsid w:val="00D12ADE"/>
    <w:rsid w:val="00D54B4B"/>
    <w:rsid w:val="00D70719"/>
    <w:rsid w:val="00D8171A"/>
    <w:rsid w:val="00D96F20"/>
    <w:rsid w:val="00DA47D4"/>
    <w:rsid w:val="00DE4A42"/>
    <w:rsid w:val="00DF5F4B"/>
    <w:rsid w:val="00E121AA"/>
    <w:rsid w:val="00E35A1C"/>
    <w:rsid w:val="00E52FC8"/>
    <w:rsid w:val="00E75423"/>
    <w:rsid w:val="00EA5FA6"/>
    <w:rsid w:val="00F6401B"/>
    <w:rsid w:val="00F93B99"/>
    <w:rsid w:val="00FB0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3CF73"/>
  <w15:chartTrackingRefBased/>
  <w15:docId w15:val="{33E2D8C0-4295-4EE1-B7C7-07FDF88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08B"/>
    <w:pPr>
      <w:spacing w:line="240" w:lineRule="auto"/>
      <w:jc w:val="left"/>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5049B"/>
    <w:rPr>
      <w:rFonts w:ascii="Segoe UI" w:hAnsi="Segoe UI" w:cs="Segoe UI"/>
      <w:sz w:val="18"/>
      <w:szCs w:val="18"/>
    </w:rPr>
  </w:style>
  <w:style w:type="paragraph" w:styleId="Encabezado">
    <w:name w:val="header"/>
    <w:basedOn w:val="Normal"/>
    <w:link w:val="Encabezado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Ttulo">
    <w:name w:val="Title"/>
    <w:basedOn w:val="Normal"/>
    <w:link w:val="TtuloCar"/>
    <w:qFormat/>
    <w:rsid w:val="00015A1A"/>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015A1A"/>
    <w:rPr>
      <w:rFonts w:ascii="Arial" w:eastAsia="Times New Roman" w:hAnsi="Arial" w:cs="Times New Roman"/>
      <w:b/>
      <w:sz w:val="28"/>
      <w:szCs w:val="20"/>
      <w:lang w:val="es-ES_tradnl" w:eastAsia="es-ES"/>
    </w:rPr>
  </w:style>
  <w:style w:type="paragraph" w:styleId="Textonotapie">
    <w:name w:val="footnote text"/>
    <w:basedOn w:val="Normal"/>
    <w:link w:val="TextonotapieCar"/>
    <w:uiPriority w:val="99"/>
    <w:semiHidden/>
    <w:unhideWhenUsed/>
    <w:rsid w:val="00A01001"/>
  </w:style>
  <w:style w:type="character" w:customStyle="1" w:styleId="TextonotapieCar">
    <w:name w:val="Texto nota pie Car"/>
    <w:basedOn w:val="Fuentedeprrafopredeter"/>
    <w:link w:val="Textonotapie"/>
    <w:uiPriority w:val="99"/>
    <w:semiHidden/>
    <w:rsid w:val="00A01001"/>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A01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D4B4-847A-44A3-8FFB-D10FAE4A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Augusto Torres Rojas</dc:creator>
  <cp:keywords/>
  <dc:description/>
  <cp:lastModifiedBy>Claudia Herrera</cp:lastModifiedBy>
  <cp:revision>2</cp:revision>
  <cp:lastPrinted>2018-12-11T21:21:00Z</cp:lastPrinted>
  <dcterms:created xsi:type="dcterms:W3CDTF">2018-12-11T22:21:00Z</dcterms:created>
  <dcterms:modified xsi:type="dcterms:W3CDTF">2018-12-11T22:21:00Z</dcterms:modified>
</cp:coreProperties>
</file>